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color w:val="auto"/>
          <w:sz w:val="48"/>
          <w:szCs w:val="48"/>
          <w:highlight w:val="none"/>
        </w:rPr>
      </w:pPr>
      <w:r>
        <w:rPr>
          <w:rFonts w:hint="eastAsia" w:ascii="宋体" w:hAnsi="宋体" w:cs="宋体"/>
          <w:b/>
          <w:color w:val="auto"/>
          <w:spacing w:val="20"/>
          <w:sz w:val="48"/>
          <w:szCs w:val="48"/>
          <w:highlight w:val="none"/>
        </w:rPr>
        <w:t>江苏航运职业技术学院轨道交通产教融合实训基地扶梯项目</w:t>
      </w:r>
    </w:p>
    <w:p>
      <w:pPr>
        <w:jc w:val="center"/>
        <w:rPr>
          <w:rFonts w:ascii="宋体" w:hAnsi="宋体" w:cs="宋体"/>
          <w:bCs/>
          <w:color w:val="auto"/>
          <w:sz w:val="100"/>
          <w:szCs w:val="100"/>
          <w:highlight w:val="none"/>
        </w:rPr>
      </w:pPr>
    </w:p>
    <w:p>
      <w:pPr>
        <w:jc w:val="center"/>
        <w:rPr>
          <w:rFonts w:ascii="宋体" w:hAnsi="宋体" w:cs="宋体"/>
          <w:bCs/>
          <w:color w:val="auto"/>
          <w:sz w:val="100"/>
          <w:szCs w:val="100"/>
          <w:highlight w:val="none"/>
        </w:rPr>
      </w:pPr>
      <w:r>
        <w:rPr>
          <w:rFonts w:hint="eastAsia" w:ascii="宋体" w:hAnsi="宋体" w:cs="宋体"/>
          <w:bCs/>
          <w:color w:val="auto"/>
          <w:sz w:val="100"/>
          <w:szCs w:val="100"/>
          <w:highlight w:val="none"/>
        </w:rPr>
        <w:t>招标文件</w:t>
      </w:r>
    </w:p>
    <w:p>
      <w:pPr>
        <w:pStyle w:val="8"/>
        <w:spacing w:line="500" w:lineRule="exact"/>
        <w:rPr>
          <w:rFonts w:ascii="宋体" w:hAnsi="宋体" w:cs="宋体"/>
          <w:b w:val="0"/>
          <w:bCs/>
          <w:color w:val="auto"/>
          <w:highlight w:val="none"/>
        </w:rPr>
      </w:pPr>
    </w:p>
    <w:p>
      <w:pPr>
        <w:pStyle w:val="8"/>
        <w:spacing w:line="500" w:lineRule="exact"/>
        <w:rPr>
          <w:rFonts w:ascii="宋体" w:hAnsi="宋体" w:cs="宋体"/>
          <w:b w:val="0"/>
          <w:bCs/>
          <w:color w:val="auto"/>
          <w:sz w:val="36"/>
          <w:szCs w:val="36"/>
          <w:highlight w:val="none"/>
        </w:rPr>
      </w:pPr>
      <w:r>
        <w:rPr>
          <w:rFonts w:hint="eastAsia" w:ascii="宋体" w:hAnsi="宋体" w:cs="宋体"/>
          <w:bCs/>
          <w:color w:val="auto"/>
          <w:sz w:val="36"/>
          <w:szCs w:val="36"/>
          <w:highlight w:val="none"/>
        </w:rPr>
        <w:t>采购文件编号：ZRNT20240005</w:t>
      </w:r>
    </w:p>
    <w:p>
      <w:pPr>
        <w:spacing w:line="500" w:lineRule="exact"/>
        <w:ind w:firstLine="420"/>
        <w:jc w:val="center"/>
        <w:rPr>
          <w:rFonts w:ascii="宋体" w:hAnsi="宋体" w:cs="宋体"/>
          <w:b/>
          <w:color w:val="auto"/>
          <w:sz w:val="36"/>
          <w:highlight w:val="none"/>
        </w:rPr>
      </w:pPr>
    </w:p>
    <w:p>
      <w:pPr>
        <w:spacing w:line="500" w:lineRule="exact"/>
        <w:jc w:val="center"/>
        <w:rPr>
          <w:rFonts w:ascii="宋体" w:hAnsi="宋体" w:cs="宋体"/>
          <w:b/>
          <w:color w:val="auto"/>
          <w:sz w:val="36"/>
          <w:highlight w:val="none"/>
        </w:rPr>
      </w:pPr>
    </w:p>
    <w:p>
      <w:pPr>
        <w:spacing w:line="500" w:lineRule="exact"/>
        <w:jc w:val="center"/>
        <w:rPr>
          <w:rFonts w:ascii="宋体" w:hAnsi="宋体" w:cs="宋体"/>
          <w:b/>
          <w:color w:val="auto"/>
          <w:sz w:val="36"/>
          <w:highlight w:val="none"/>
        </w:rPr>
      </w:pPr>
    </w:p>
    <w:p>
      <w:pPr>
        <w:spacing w:line="500" w:lineRule="exact"/>
        <w:jc w:val="center"/>
        <w:rPr>
          <w:rFonts w:ascii="宋体" w:hAnsi="宋体" w:cs="宋体"/>
          <w:color w:val="auto"/>
          <w:sz w:val="32"/>
          <w:highlight w:val="none"/>
        </w:rPr>
      </w:pPr>
      <w:r>
        <w:rPr>
          <w:rFonts w:hint="eastAsia" w:ascii="宋体" w:hAnsi="宋体" w:cs="宋体"/>
          <w:color w:val="auto"/>
          <w:highlight w:val="none"/>
        </w:rPr>
        <w:t>、</w:t>
      </w:r>
    </w:p>
    <w:p>
      <w:pPr>
        <w:rPr>
          <w:rFonts w:ascii="宋体" w:hAnsi="宋体" w:cs="宋体"/>
          <w:color w:val="auto"/>
          <w:sz w:val="32"/>
          <w:highlight w:val="none"/>
        </w:rPr>
      </w:pPr>
    </w:p>
    <w:p>
      <w:pPr>
        <w:pStyle w:val="22"/>
        <w:rPr>
          <w:rFonts w:cs="宋体"/>
          <w:color w:val="auto"/>
          <w:highlight w:val="none"/>
        </w:rPr>
      </w:pPr>
    </w:p>
    <w:p>
      <w:pPr>
        <w:pStyle w:val="72"/>
        <w:rPr>
          <w:rFonts w:ascii="宋体" w:hAnsi="宋体" w:eastAsia="宋体" w:cs="宋体"/>
          <w:color w:val="auto"/>
          <w:sz w:val="32"/>
          <w:highlight w:val="none"/>
        </w:rPr>
      </w:pPr>
    </w:p>
    <w:p>
      <w:pPr>
        <w:pStyle w:val="72"/>
        <w:rPr>
          <w:rFonts w:ascii="宋体" w:hAnsi="宋体" w:eastAsia="宋体" w:cs="宋体"/>
          <w:color w:val="auto"/>
          <w:sz w:val="32"/>
          <w:highlight w:val="none"/>
        </w:rPr>
      </w:pPr>
    </w:p>
    <w:p>
      <w:pPr>
        <w:spacing w:line="500" w:lineRule="exact"/>
        <w:jc w:val="center"/>
        <w:rPr>
          <w:rFonts w:ascii="宋体" w:hAnsi="宋体" w:cs="宋体"/>
          <w:color w:val="auto"/>
          <w:sz w:val="32"/>
          <w:highlight w:val="none"/>
        </w:rPr>
      </w:pPr>
    </w:p>
    <w:p>
      <w:pPr>
        <w:spacing w:line="500" w:lineRule="exact"/>
        <w:jc w:val="center"/>
        <w:rPr>
          <w:rFonts w:ascii="宋体" w:hAnsi="宋体" w:cs="宋体"/>
          <w:color w:val="auto"/>
          <w:sz w:val="32"/>
          <w:highlight w:val="none"/>
        </w:rPr>
      </w:pPr>
    </w:p>
    <w:p>
      <w:pPr>
        <w:adjustRightInd w:val="0"/>
        <w:spacing w:before="120" w:after="120" w:line="500" w:lineRule="exact"/>
        <w:ind w:right="120"/>
        <w:jc w:val="center"/>
        <w:textAlignment w:val="baseline"/>
        <w:rPr>
          <w:rFonts w:ascii="宋体" w:hAnsi="宋体" w:cs="宋体"/>
          <w:b/>
          <w:bCs/>
          <w:color w:val="auto"/>
          <w:sz w:val="32"/>
          <w:highlight w:val="none"/>
        </w:rPr>
      </w:pPr>
    </w:p>
    <w:p>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采购单位：江苏航运职业技术学院</w:t>
      </w:r>
    </w:p>
    <w:p>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采购代理机构：江苏中润工程建设咨询有限公司</w:t>
      </w:r>
    </w:p>
    <w:p>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2024年0</w:t>
      </w:r>
      <w:r>
        <w:rPr>
          <w:rFonts w:hint="eastAsia" w:ascii="宋体" w:hAnsi="宋体" w:cs="宋体"/>
          <w:b/>
          <w:bCs/>
          <w:color w:val="auto"/>
          <w:sz w:val="32"/>
          <w:highlight w:val="none"/>
          <w:lang w:val="en-US" w:eastAsia="zh-CN"/>
        </w:rPr>
        <w:t>2</w:t>
      </w:r>
      <w:r>
        <w:rPr>
          <w:rFonts w:hint="eastAsia" w:ascii="宋体" w:hAnsi="宋体" w:cs="宋体"/>
          <w:b/>
          <w:bCs/>
          <w:color w:val="auto"/>
          <w:sz w:val="32"/>
          <w:highlight w:val="none"/>
        </w:rPr>
        <w:t>月</w:t>
      </w:r>
      <w:r>
        <w:rPr>
          <w:rFonts w:hint="eastAsia" w:ascii="宋体" w:hAnsi="宋体" w:cs="宋体"/>
          <w:b/>
          <w:bCs/>
          <w:color w:val="auto"/>
          <w:sz w:val="32"/>
          <w:highlight w:val="none"/>
          <w:lang w:val="en-US" w:eastAsia="zh-CN"/>
        </w:rPr>
        <w:t>06</w:t>
      </w:r>
      <w:r>
        <w:rPr>
          <w:rFonts w:hint="eastAsia" w:ascii="宋体" w:hAnsi="宋体" w:cs="宋体"/>
          <w:b/>
          <w:bCs/>
          <w:color w:val="auto"/>
          <w:sz w:val="32"/>
          <w:highlight w:val="none"/>
        </w:rPr>
        <w:t>日</w:t>
      </w:r>
    </w:p>
    <w:p>
      <w:pPr>
        <w:adjustRightInd w:val="0"/>
        <w:snapToGrid w:val="0"/>
        <w:ind w:left="-158" w:leftChars="-75"/>
        <w:jc w:val="center"/>
        <w:rPr>
          <w:rFonts w:ascii="宋体" w:hAnsi="宋体" w:cs="宋体"/>
          <w:b/>
          <w:bCs/>
          <w:color w:val="auto"/>
          <w:sz w:val="44"/>
          <w:szCs w:val="44"/>
          <w:highlight w:val="none"/>
        </w:rPr>
      </w:pPr>
    </w:p>
    <w:p>
      <w:pPr>
        <w:adjustRightInd w:val="0"/>
        <w:snapToGrid w:val="0"/>
        <w:ind w:left="-158" w:leftChars="-75"/>
        <w:jc w:val="center"/>
        <w:rPr>
          <w:rFonts w:ascii="宋体" w:hAnsi="宋体" w:cs="宋体"/>
          <w:b/>
          <w:bCs/>
          <w:color w:val="auto"/>
          <w:sz w:val="32"/>
          <w:szCs w:val="32"/>
          <w:highlight w:val="none"/>
        </w:rPr>
      </w:pPr>
      <w:r>
        <w:rPr>
          <w:rFonts w:hint="eastAsia" w:ascii="宋体" w:hAnsi="宋体" w:cs="宋体"/>
          <w:b/>
          <w:bCs/>
          <w:color w:val="auto"/>
          <w:sz w:val="44"/>
          <w:szCs w:val="44"/>
          <w:highlight w:val="none"/>
        </w:rPr>
        <w:t>目 录</w:t>
      </w:r>
    </w:p>
    <w:p>
      <w:pPr>
        <w:tabs>
          <w:tab w:val="left" w:pos="7740"/>
        </w:tabs>
        <w:adjustRightInd w:val="0"/>
        <w:snapToGrid w:val="0"/>
        <w:spacing w:line="1000" w:lineRule="exact"/>
        <w:ind w:firstLine="640" w:firstLineChars="200"/>
        <w:rPr>
          <w:rFonts w:ascii="宋体" w:hAnsi="宋体" w:cs="宋体"/>
          <w:bCs/>
          <w:color w:val="auto"/>
          <w:sz w:val="32"/>
          <w:szCs w:val="32"/>
          <w:highlight w:val="none"/>
        </w:rPr>
      </w:pP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投标邀请</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pPr>
        <w:spacing w:line="500" w:lineRule="exact"/>
        <w:rPr>
          <w:rFonts w:ascii="宋体" w:hAnsi="宋体" w:cs="宋体"/>
          <w:b/>
          <w:color w:val="auto"/>
          <w:sz w:val="32"/>
          <w:szCs w:val="32"/>
          <w:highlight w:val="none"/>
        </w:rPr>
      </w:pPr>
    </w:p>
    <w:p>
      <w:pPr>
        <w:tabs>
          <w:tab w:val="left" w:pos="7740"/>
        </w:tabs>
        <w:spacing w:line="500" w:lineRule="exact"/>
        <w:rPr>
          <w:rFonts w:ascii="宋体" w:hAnsi="宋体" w:cs="宋体"/>
          <w:b/>
          <w:color w:val="auto"/>
          <w:spacing w:val="2"/>
          <w:sz w:val="32"/>
          <w:szCs w:val="32"/>
          <w:highlight w:val="none"/>
        </w:rPr>
      </w:pPr>
    </w:p>
    <w:p>
      <w:pPr>
        <w:tabs>
          <w:tab w:val="left" w:pos="7740"/>
        </w:tabs>
        <w:spacing w:line="500" w:lineRule="exact"/>
        <w:rPr>
          <w:rFonts w:ascii="宋体" w:hAnsi="宋体" w:cs="宋体"/>
          <w:b/>
          <w:color w:val="auto"/>
          <w:spacing w:val="2"/>
          <w:sz w:val="32"/>
          <w:szCs w:val="32"/>
          <w:highlight w:val="none"/>
        </w:rPr>
      </w:pPr>
    </w:p>
    <w:p>
      <w:pPr>
        <w:tabs>
          <w:tab w:val="left" w:pos="7740"/>
        </w:tabs>
        <w:spacing w:line="500" w:lineRule="exact"/>
        <w:rPr>
          <w:rFonts w:ascii="宋体" w:hAnsi="宋体" w:cs="宋体"/>
          <w:b/>
          <w:bCs/>
          <w:color w:val="auto"/>
          <w:sz w:val="32"/>
          <w:szCs w:val="32"/>
          <w:highlight w:val="none"/>
        </w:rPr>
      </w:pPr>
    </w:p>
    <w:p>
      <w:pPr>
        <w:spacing w:line="500" w:lineRule="exact"/>
        <w:outlineLvl w:val="0"/>
        <w:rPr>
          <w:rFonts w:ascii="宋体" w:hAnsi="宋体" w:cs="宋体"/>
          <w:b/>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adjustRightInd w:val="0"/>
        <w:snapToGrid w:val="0"/>
        <w:spacing w:line="800" w:lineRule="exact"/>
        <w:jc w:val="center"/>
        <w:outlineLvl w:val="0"/>
        <w:rPr>
          <w:rFonts w:ascii="宋体" w:hAnsi="宋体" w:cs="宋体"/>
          <w:b/>
          <w:color w:val="auto"/>
          <w:sz w:val="32"/>
          <w:szCs w:val="32"/>
          <w:highlight w:val="none"/>
        </w:rPr>
      </w:pPr>
    </w:p>
    <w:p>
      <w:pPr>
        <w:adjustRightInd w:val="0"/>
        <w:snapToGrid w:val="0"/>
        <w:spacing w:line="800" w:lineRule="exact"/>
        <w:jc w:val="center"/>
        <w:outlineLvl w:val="0"/>
        <w:rPr>
          <w:rFonts w:ascii="宋体" w:hAnsi="宋体" w:cs="宋体"/>
          <w:b/>
          <w:color w:val="auto"/>
          <w:sz w:val="32"/>
          <w:szCs w:val="32"/>
          <w:highlight w:val="none"/>
        </w:rPr>
      </w:pPr>
      <w:r>
        <w:rPr>
          <w:rFonts w:hint="eastAsia" w:ascii="宋体" w:hAnsi="宋体" w:cs="宋体"/>
          <w:b/>
          <w:color w:val="auto"/>
          <w:sz w:val="36"/>
          <w:szCs w:val="36"/>
          <w:highlight w:val="none"/>
        </w:rPr>
        <w:t xml:space="preserve">第一部分 </w:t>
      </w:r>
      <w:bookmarkStart w:id="0" w:name="OLE_LINK7"/>
      <w:bookmarkStart w:id="1" w:name="OLE_LINK5"/>
      <w:r>
        <w:rPr>
          <w:rFonts w:hint="eastAsia" w:ascii="宋体" w:hAnsi="宋体" w:cs="宋体"/>
          <w:b/>
          <w:color w:val="auto"/>
          <w:sz w:val="36"/>
          <w:szCs w:val="36"/>
          <w:highlight w:val="none"/>
        </w:rPr>
        <w:t>投标邀请</w:t>
      </w:r>
    </w:p>
    <w:p>
      <w:pPr>
        <w:adjustRightInd w:val="0"/>
        <w:snapToGrid w:val="0"/>
        <w:spacing w:line="500" w:lineRule="exact"/>
        <w:jc w:val="center"/>
        <w:outlineLvl w:val="0"/>
        <w:rPr>
          <w:rFonts w:ascii="宋体" w:hAnsi="宋体" w:cs="宋体"/>
          <w:b/>
          <w:color w:val="auto"/>
          <w:sz w:val="32"/>
          <w:szCs w:val="32"/>
          <w:highlight w:val="none"/>
        </w:rPr>
      </w:pPr>
    </w:p>
    <w:p>
      <w:pPr>
        <w:pBdr>
          <w:top w:val="single" w:color="auto" w:sz="4" w:space="1"/>
          <w:left w:val="single" w:color="auto" w:sz="4" w:space="4"/>
          <w:bottom w:val="single" w:color="auto" w:sz="4" w:space="1"/>
          <w:right w:val="single" w:color="auto" w:sz="4" w:space="4"/>
        </w:pBdr>
        <w:adjustRightInd w:val="0"/>
        <w:snapToGrid w:val="0"/>
        <w:spacing w:line="460" w:lineRule="exact"/>
        <w:rPr>
          <w:rFonts w:ascii="宋体" w:hAnsi="宋体" w:cs="宋体"/>
          <w:color w:val="auto"/>
          <w:sz w:val="28"/>
          <w:szCs w:val="28"/>
          <w:highlight w:val="none"/>
        </w:rPr>
      </w:pPr>
      <w:bookmarkStart w:id="2" w:name="OLE_LINK6"/>
      <w:r>
        <w:rPr>
          <w:rFonts w:hint="eastAsia" w:ascii="宋体" w:hAnsi="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(江苏航运职业技术学院轨道交通产教融合实训基地扶梯项目）的潜在投标人应在江苏航运职业技术学院网站获取招标文件，并于2024年02月</w:t>
      </w:r>
      <w:r>
        <w:rPr>
          <w:rFonts w:hint="eastAsia" w:ascii="宋体" w:hAnsi="宋体" w:cs="宋体"/>
          <w:color w:val="auto"/>
          <w:sz w:val="28"/>
          <w:szCs w:val="28"/>
          <w:highlight w:val="none"/>
          <w:lang w:val="en-US" w:eastAsia="zh-CN"/>
        </w:rPr>
        <w:t>27</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点</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rPr>
        <w:t>分（北京时间）前递交投标文件。</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一、项目基本情况</w:t>
      </w:r>
    </w:p>
    <w:p>
      <w:pPr>
        <w:adjustRightInd w:val="0"/>
        <w:snapToGrid w:val="0"/>
        <w:spacing w:line="460" w:lineRule="exact"/>
        <w:ind w:firstLine="560" w:firstLineChars="200"/>
        <w:rPr>
          <w:rFonts w:ascii="宋体" w:hAnsi="宋体" w:cs="宋体"/>
          <w:color w:val="auto"/>
          <w:spacing w:val="7"/>
          <w:kern w:val="0"/>
          <w:sz w:val="28"/>
          <w:szCs w:val="22"/>
          <w:highlight w:val="none"/>
        </w:rPr>
      </w:pPr>
      <w:r>
        <w:rPr>
          <w:rFonts w:hint="eastAsia" w:ascii="宋体" w:hAnsi="宋体" w:cs="宋体"/>
          <w:color w:val="auto"/>
          <w:sz w:val="28"/>
          <w:szCs w:val="28"/>
          <w:highlight w:val="none"/>
        </w:rPr>
        <w:t>项目编号：ZRNT20240005</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项目名称：江苏航运职业技术学院轨道交通产教融合实训基地扶梯项目</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项目类型：货物</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所属行业：工业</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预算金额：35万元</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最高限价：35万元，投标报价超过最高限价按无效标处理。</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采购需求：为满足苏航运职业技术学院轨道交通产教融合实训基地扶梯项目安全使用，招标人拟采购扶梯1台并要求提供设备、安装、扶梯外装饰（侧面采用玻璃）、底坑整改</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质保及维保等相关技术支持与服务详见招标文件。</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合同履行期限：合同签订之日起120天内完成设备的供货、安装与调试，验收合格并交付使用。</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二、申请人的资格要求：</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满足以下条件：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2.本项目的特定资格要求：</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2.1供应商</w:t>
      </w:r>
      <w:r>
        <w:rPr>
          <w:rFonts w:hint="eastAsia" w:ascii="宋体" w:hAnsi="宋体" w:cs="宋体"/>
          <w:color w:val="auto"/>
          <w:sz w:val="28"/>
          <w:szCs w:val="28"/>
          <w:highlight w:val="none"/>
          <w:lang w:val="en-US" w:eastAsia="zh-CN"/>
        </w:rPr>
        <w:t>如为电梯制造厂商</w:t>
      </w:r>
      <w:r>
        <w:rPr>
          <w:rFonts w:hint="eastAsia" w:ascii="宋体" w:hAnsi="宋体" w:cs="宋体"/>
          <w:color w:val="auto"/>
          <w:sz w:val="28"/>
          <w:szCs w:val="28"/>
          <w:highlight w:val="none"/>
        </w:rPr>
        <w:t>须具有有效期内的《中华人民共和国特种设备生产许可证》，许可项目：电梯</w:t>
      </w:r>
      <w:r>
        <w:rPr>
          <w:rFonts w:hint="eastAsia" w:ascii="宋体" w:hAnsi="宋体" w:cs="宋体"/>
          <w:color w:val="auto"/>
          <w:sz w:val="28"/>
          <w:szCs w:val="28"/>
          <w:highlight w:val="none"/>
          <w:lang w:val="en-US" w:eastAsia="zh-CN"/>
        </w:rPr>
        <w:t>制造</w:t>
      </w:r>
      <w:r>
        <w:rPr>
          <w:rFonts w:hint="eastAsia" w:ascii="宋体" w:hAnsi="宋体" w:cs="宋体"/>
          <w:color w:val="auto"/>
          <w:sz w:val="28"/>
          <w:szCs w:val="28"/>
          <w:highlight w:val="none"/>
        </w:rPr>
        <w:t>（含</w:t>
      </w:r>
      <w:r>
        <w:rPr>
          <w:rFonts w:hint="eastAsia" w:ascii="宋体" w:hAnsi="宋体" w:cs="宋体"/>
          <w:color w:val="auto"/>
          <w:sz w:val="28"/>
          <w:szCs w:val="28"/>
          <w:highlight w:val="none"/>
          <w:lang w:val="en-US" w:eastAsia="zh-CN"/>
        </w:rPr>
        <w:t>安装、</w:t>
      </w:r>
      <w:r>
        <w:rPr>
          <w:rFonts w:hint="eastAsia" w:ascii="宋体" w:hAnsi="宋体" w:cs="宋体"/>
          <w:color w:val="auto"/>
          <w:sz w:val="28"/>
          <w:szCs w:val="28"/>
          <w:highlight w:val="none"/>
        </w:rPr>
        <w:t>修理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改造</w:t>
      </w:r>
      <w:r>
        <w:rPr>
          <w:rFonts w:hint="eastAsia" w:ascii="宋体" w:hAnsi="宋体" w:cs="宋体"/>
          <w:color w:val="auto"/>
          <w:sz w:val="28"/>
          <w:szCs w:val="28"/>
          <w:highlight w:val="none"/>
        </w:rPr>
        <w:t>），许可子项目：自动扶梯与自动人行道。</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2.2供应商如为代理商，则必须提供《中华人民共和国特种设备（电梯）安装、改造、维修许可证》。</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3.提供法定代表人身份证明书及法人身份证复印件盖公章；非法定代表人参加的，另须提供法定代表人签名或盖章的授权委托书及投标代表本人身份证复印件盖公章；</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4.本项目不接受联合体投标。</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三、获取招标文件</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时间：2024年0</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06</w:t>
      </w:r>
      <w:r>
        <w:rPr>
          <w:rFonts w:hint="eastAsia" w:ascii="宋体" w:hAnsi="宋体" w:cs="宋体"/>
          <w:color w:val="auto"/>
          <w:sz w:val="28"/>
          <w:szCs w:val="28"/>
          <w:highlight w:val="none"/>
        </w:rPr>
        <w:t>日至2024年0</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cs="宋体"/>
          <w:color w:val="auto"/>
          <w:sz w:val="28"/>
          <w:szCs w:val="28"/>
          <w:highlight w:val="none"/>
        </w:rPr>
        <w:t>日</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地点：江苏航运职业技术学院网站</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方式：自行下载招标文件</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四、提交投标文件截止时间、开标时间和地点</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2024年02月</w:t>
      </w:r>
      <w:r>
        <w:rPr>
          <w:rFonts w:hint="eastAsia" w:ascii="宋体" w:hAnsi="宋体" w:cs="宋体"/>
          <w:color w:val="auto"/>
          <w:sz w:val="28"/>
          <w:szCs w:val="28"/>
          <w:highlight w:val="none"/>
          <w:lang w:val="en-US" w:eastAsia="zh-CN"/>
        </w:rPr>
        <w:t>27</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点</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rPr>
        <w:t>分（北京时间）。逾时，招标人将拒绝接受投标响应文件。</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地点：南通市崇川路58号南通产业技术研究院9号楼10楼开标室，如有变动另行通知。</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五、公告期限</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自本公告发布之日起5个工作日。</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六、其他补充事宜</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1.投标保证金：免收</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2.项目开标活动模式：见面开标模式，投标供应商在南通市崇川路58号南通产业技术研究院9号楼10楼开标室参加开标会。</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3.项目演示：无。</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4.对项目需求部分（供应商资格要求、项目需求、商务技术评分标准）的询问、质疑请向招标人提出，由招标人负责答复；对项目招标文件其它部分的询问请向代理机构经办人提出。</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供应商应依照规定提交各类声明函、承诺函，不再同时提供原件备查或提供有关部门出具的相关证明文件。但中标供应商应做好提交声明函、承诺函、认证、业绩等相应原件的核查准备；核查后发现虚假或违背承诺的，依照相关法律法规规定处理。</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七、对本次招标提出询问，请按以下方式联系。</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1.招标人信息</w:t>
      </w:r>
    </w:p>
    <w:p>
      <w:pPr>
        <w:shd w:val="clear" w:color="auto" w:fill="FFFFFF"/>
        <w:spacing w:line="460" w:lineRule="exact"/>
        <w:ind w:firstLine="588" w:firstLineChars="200"/>
        <w:rPr>
          <w:rFonts w:ascii="宋体" w:hAnsi="宋体" w:cs="宋体"/>
          <w:color w:val="auto"/>
          <w:spacing w:val="7"/>
          <w:sz w:val="28"/>
          <w:szCs w:val="28"/>
          <w:highlight w:val="none"/>
        </w:rPr>
      </w:pPr>
      <w:bookmarkStart w:id="3" w:name="_Toc35393638"/>
      <w:bookmarkStart w:id="4" w:name="_Toc35393807"/>
      <w:bookmarkStart w:id="5" w:name="_Toc28359097"/>
      <w:bookmarkStart w:id="6" w:name="_Toc28359020"/>
      <w:r>
        <w:rPr>
          <w:rFonts w:hint="eastAsia" w:ascii="宋体" w:hAnsi="宋体" w:cs="宋体"/>
          <w:color w:val="auto"/>
          <w:spacing w:val="7"/>
          <w:sz w:val="28"/>
          <w:szCs w:val="28"/>
          <w:highlight w:val="none"/>
        </w:rPr>
        <w:t>名称：江苏航运职业技术学院</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联系人：徐老师 13962943196</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2.招标代理机构信息</w:t>
      </w:r>
      <w:bookmarkEnd w:id="3"/>
      <w:bookmarkEnd w:id="4"/>
      <w:bookmarkEnd w:id="5"/>
      <w:bookmarkEnd w:id="6"/>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名称：江苏中润工程建设咨询有限公司</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地址：南通市崇川路58号</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联系方式：王工0513-55887688 13906272111</w:t>
      </w:r>
    </w:p>
    <w:p>
      <w:pPr>
        <w:spacing w:line="800" w:lineRule="exact"/>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第二部分  投标须知</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7" w:name="_Toc20823275"/>
      <w:bookmarkStart w:id="8" w:name="_Toc16938519"/>
      <w:bookmarkStart w:id="9" w:name="_Toc513029203"/>
      <w:bookmarkStart w:id="10" w:name="_Toc120614214"/>
      <w:r>
        <w:rPr>
          <w:rFonts w:hint="eastAsia" w:ascii="宋体" w:hAnsi="宋体" w:cs="宋体"/>
          <w:color w:val="auto"/>
          <w:sz w:val="28"/>
          <w:szCs w:val="28"/>
          <w:highlight w:val="none"/>
        </w:rPr>
        <w:t>一、总则</w:t>
      </w:r>
      <w:bookmarkEnd w:id="7"/>
      <w:bookmarkEnd w:id="8"/>
      <w:bookmarkEnd w:id="9"/>
      <w:bookmarkEnd w:id="10"/>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1" w:name="_Hlt16619475"/>
      <w:bookmarkEnd w:id="11"/>
      <w:bookmarkStart w:id="12" w:name="_Toc458694821"/>
      <w:bookmarkStart w:id="13" w:name="_Toc513029204"/>
      <w:bookmarkStart w:id="14" w:name="_Toc20823276"/>
      <w:bookmarkStart w:id="15" w:name="_Toc16938520"/>
      <w:r>
        <w:rPr>
          <w:rFonts w:hint="eastAsia" w:ascii="宋体" w:hAnsi="宋体" w:eastAsia="宋体" w:cs="宋体"/>
          <w:color w:val="auto"/>
          <w:sz w:val="28"/>
          <w:szCs w:val="28"/>
          <w:highlight w:val="none"/>
        </w:rPr>
        <w:t>1</w:t>
      </w:r>
      <w:bookmarkEnd w:id="12"/>
      <w:r>
        <w:rPr>
          <w:rFonts w:hint="eastAsia" w:ascii="宋体" w:hAnsi="宋体" w:eastAsia="宋体" w:cs="宋体"/>
          <w:color w:val="auto"/>
          <w:sz w:val="28"/>
          <w:szCs w:val="28"/>
          <w:highlight w:val="none"/>
        </w:rPr>
        <w:t>.招标</w:t>
      </w:r>
      <w:bookmarkEnd w:id="13"/>
      <w:bookmarkEnd w:id="14"/>
      <w:bookmarkEnd w:id="15"/>
      <w:r>
        <w:rPr>
          <w:rFonts w:hint="eastAsia" w:ascii="宋体" w:hAnsi="宋体" w:eastAsia="宋体" w:cs="宋体"/>
          <w:color w:val="auto"/>
          <w:sz w:val="28"/>
          <w:szCs w:val="28"/>
          <w:highlight w:val="none"/>
        </w:rPr>
        <w:t>方式</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 本次招标采取公开招标方式，本招标文件仅适用于招标公告中所述项目。</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6" w:name="_Toc16938521"/>
      <w:bookmarkStart w:id="17" w:name="_Toc20823277"/>
      <w:bookmarkStart w:id="18" w:name="_Toc513029205"/>
      <w:r>
        <w:rPr>
          <w:rFonts w:hint="eastAsia" w:ascii="宋体" w:hAnsi="宋体" w:eastAsia="宋体" w:cs="宋体"/>
          <w:color w:val="auto"/>
          <w:sz w:val="28"/>
          <w:szCs w:val="28"/>
          <w:highlight w:val="none"/>
        </w:rPr>
        <w:t>2.合格的投标人</w:t>
      </w:r>
      <w:bookmarkEnd w:id="16"/>
      <w:bookmarkEnd w:id="17"/>
      <w:bookmarkEnd w:id="18"/>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2.1满足招标公告中供应商的资格要求的规定。</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满足本文件实质性条款的规定。</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9" w:name="_Toc513029206"/>
      <w:bookmarkStart w:id="20" w:name="_Toc20823278"/>
      <w:bookmarkStart w:id="21" w:name="_Toc16938522"/>
      <w:r>
        <w:rPr>
          <w:rFonts w:hint="eastAsia" w:ascii="宋体" w:hAnsi="宋体" w:eastAsia="宋体" w:cs="宋体"/>
          <w:color w:val="auto"/>
          <w:sz w:val="28"/>
          <w:szCs w:val="28"/>
          <w:highlight w:val="none"/>
        </w:rPr>
        <w:t>3.适用法律</w:t>
      </w:r>
      <w:bookmarkEnd w:id="19"/>
      <w:bookmarkEnd w:id="20"/>
      <w:bookmarkEnd w:id="21"/>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3.1本次招标及由此产生的合同受中华人民共和国有关的法律法规制约和保护。</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22" w:name="_Toc20823279"/>
      <w:bookmarkStart w:id="23" w:name="_Toc513029207"/>
      <w:bookmarkStart w:id="24" w:name="_Toc462564067"/>
      <w:bookmarkStart w:id="25" w:name="_Toc16938523"/>
      <w:r>
        <w:rPr>
          <w:rFonts w:hint="eastAsia" w:ascii="宋体" w:hAnsi="宋体" w:eastAsia="宋体" w:cs="宋体"/>
          <w:color w:val="auto"/>
          <w:sz w:val="28"/>
          <w:szCs w:val="28"/>
          <w:highlight w:val="none"/>
        </w:rPr>
        <w:t>4.投标费用</w:t>
      </w:r>
      <w:bookmarkEnd w:id="22"/>
      <w:bookmarkEnd w:id="23"/>
      <w:bookmarkEnd w:id="24"/>
      <w:bookmarkEnd w:id="25"/>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4.1本项目工本费300元/份，于开标现场支付给采购代理机构，无论是否中标售后不退。</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4.2本项目采购代理服务费按照发改价格[2011]534号文标准计收，由成交供应商承担。供应商在报价时应综合考虑（不单列）。</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代理费定标后由中标候选人支付给代理机构。因中标人原因导致中标结果变更或取消中标资格等，代理费不予退还。</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5.招标文件的约束力</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5.1</w:t>
      </w:r>
      <w:r>
        <w:rPr>
          <w:rFonts w:hint="eastAsia" w:ascii="宋体" w:hAnsi="宋体" w:cs="宋体"/>
          <w:color w:val="auto"/>
          <w:sz w:val="28"/>
          <w:szCs w:val="28"/>
          <w:highlight w:val="none"/>
        </w:rPr>
        <w:t xml:space="preserve"> 投标人一旦参加本项目采购活动，即被认为接受了本招标文件的规定和约束。</w:t>
      </w:r>
    </w:p>
    <w:p>
      <w:pPr>
        <w:pStyle w:val="6"/>
        <w:adjustRightInd w:val="0"/>
        <w:snapToGrid w:val="0"/>
        <w:spacing w:line="42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6.招标文件的解释</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6.1</w:t>
      </w:r>
      <w:r>
        <w:rPr>
          <w:rFonts w:hint="eastAsia" w:ascii="宋体" w:hAnsi="宋体" w:cs="宋体"/>
          <w:color w:val="auto"/>
          <w:sz w:val="28"/>
          <w:szCs w:val="28"/>
          <w:highlight w:val="none"/>
        </w:rPr>
        <w:t>招标文件需求部分（供应商资格要求、项目需求、商务技术评分标准）由招标人解释，其它部分由代理机构解释。</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26" w:name="_Toc513029209"/>
      <w:bookmarkStart w:id="27" w:name="_Toc20823281"/>
      <w:bookmarkStart w:id="28" w:name="_Toc120614215"/>
      <w:bookmarkStart w:id="29" w:name="_Toc16938525"/>
      <w:r>
        <w:rPr>
          <w:rFonts w:hint="eastAsia" w:ascii="宋体" w:hAnsi="宋体" w:cs="宋体"/>
          <w:color w:val="auto"/>
          <w:sz w:val="28"/>
          <w:szCs w:val="28"/>
          <w:highlight w:val="none"/>
        </w:rPr>
        <w:t>二、招标文件</w:t>
      </w:r>
      <w:bookmarkEnd w:id="26"/>
      <w:bookmarkEnd w:id="27"/>
      <w:bookmarkEnd w:id="28"/>
      <w:bookmarkEnd w:id="29"/>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0" w:name="_Toc513029210"/>
      <w:bookmarkStart w:id="31" w:name="_Toc16938526"/>
      <w:bookmarkStart w:id="32" w:name="_Toc20823282"/>
      <w:r>
        <w:rPr>
          <w:rFonts w:hint="eastAsia" w:ascii="宋体" w:hAnsi="宋体" w:eastAsia="宋体" w:cs="宋体"/>
          <w:color w:val="auto"/>
          <w:sz w:val="28"/>
          <w:szCs w:val="28"/>
          <w:highlight w:val="none"/>
        </w:rPr>
        <w:t>1.招标文件构成</w:t>
      </w:r>
      <w:bookmarkEnd w:id="30"/>
      <w:bookmarkEnd w:id="31"/>
      <w:bookmarkEnd w:id="32"/>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招标文件由以下部分组成：</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（1）招标邀请</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（2）投标须知</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（3）项目需求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（4）开标和评标</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（5）投标文件组成</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（6）附件（如有）</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请仔细检查招标文件是否齐全，如有缺漏请立即与代理机构联系解决。</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3" w:name="_Toc513029211"/>
      <w:bookmarkStart w:id="34" w:name="_Toc462564070"/>
      <w:bookmarkStart w:id="35" w:name="_Toc16938527"/>
      <w:bookmarkStart w:id="36" w:name="_Toc20823283"/>
      <w:r>
        <w:rPr>
          <w:rFonts w:hint="eastAsia" w:ascii="宋体" w:hAnsi="宋体" w:eastAsia="宋体" w:cs="宋体"/>
          <w:color w:val="auto"/>
          <w:sz w:val="28"/>
          <w:szCs w:val="28"/>
          <w:highlight w:val="none"/>
        </w:rPr>
        <w:t>2.招标文件的澄清</w:t>
      </w:r>
      <w:bookmarkEnd w:id="33"/>
      <w:bookmarkEnd w:id="34"/>
      <w:bookmarkEnd w:id="35"/>
      <w:bookmarkEnd w:id="36"/>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任何要求对招标文件进行澄清的投标人，应在投标截止期十日前按招标公告中的通讯地址，以书面形式通知招标人。招标人有权对发出的招标文件进行必要的澄清或修改</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2.2招标人视情组织答疑会</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7" w:name="_Toc513029212"/>
      <w:bookmarkStart w:id="38" w:name="_Toc16938528"/>
      <w:bookmarkStart w:id="39" w:name="_Toc20823284"/>
      <w:bookmarkStart w:id="40" w:name="_Toc462564071"/>
      <w:r>
        <w:rPr>
          <w:rFonts w:hint="eastAsia" w:ascii="宋体" w:hAnsi="宋体" w:eastAsia="宋体" w:cs="宋体"/>
          <w:color w:val="auto"/>
          <w:sz w:val="28"/>
          <w:szCs w:val="28"/>
          <w:highlight w:val="none"/>
        </w:rPr>
        <w:t>3.招标文件的修改</w:t>
      </w:r>
      <w:bookmarkEnd w:id="37"/>
      <w:bookmarkEnd w:id="38"/>
      <w:bookmarkEnd w:id="39"/>
      <w:bookmarkEnd w:id="40"/>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sz w:val="28"/>
          <w:szCs w:val="28"/>
          <w:highlight w:val="none"/>
        </w:rPr>
        <w:t xml:space="preserve"> 在投标截止时间前，代理机构可以对招标文件进行修改。</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3.2 </w:t>
      </w:r>
      <w:r>
        <w:rPr>
          <w:rFonts w:hint="eastAsia" w:ascii="宋体" w:hAnsi="宋体" w:cs="宋体"/>
          <w:color w:val="auto"/>
          <w:sz w:val="28"/>
          <w:szCs w:val="28"/>
          <w:highlight w:val="none"/>
        </w:rPr>
        <w:t>代理机构有权按照法定的要求推迟投标截止日期和开标日期。</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3.3 </w:t>
      </w:r>
      <w:r>
        <w:rPr>
          <w:rFonts w:hint="eastAsia" w:ascii="宋体" w:hAnsi="宋体" w:cs="宋体"/>
          <w:color w:val="auto"/>
          <w:sz w:val="28"/>
          <w:szCs w:val="28"/>
          <w:highlight w:val="none"/>
        </w:rPr>
        <w:t>招标文件的修改将在江苏航运职业技术学院网站公布，补充文件将作为招标文件的组成部分，并对投标人具有约束力。</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41" w:name="_Toc513029213"/>
      <w:bookmarkStart w:id="42" w:name="_Toc16938529"/>
      <w:bookmarkStart w:id="43" w:name="_Toc462564072"/>
      <w:bookmarkStart w:id="44" w:name="_Toc20823285"/>
      <w:bookmarkStart w:id="45" w:name="_Toc120614216"/>
      <w:r>
        <w:rPr>
          <w:rFonts w:hint="eastAsia" w:ascii="宋体" w:hAnsi="宋体" w:cs="宋体"/>
          <w:color w:val="auto"/>
          <w:sz w:val="28"/>
          <w:szCs w:val="28"/>
          <w:highlight w:val="none"/>
        </w:rPr>
        <w:t>三、投标文件的编制</w:t>
      </w:r>
      <w:bookmarkEnd w:id="41"/>
      <w:bookmarkEnd w:id="42"/>
      <w:bookmarkEnd w:id="43"/>
      <w:bookmarkEnd w:id="44"/>
      <w:bookmarkEnd w:id="45"/>
    </w:p>
    <w:p>
      <w:pPr>
        <w:pStyle w:val="6"/>
        <w:adjustRightInd w:val="0"/>
        <w:snapToGrid w:val="0"/>
        <w:spacing w:line="420" w:lineRule="exact"/>
        <w:ind w:firstLine="560" w:firstLineChars="200"/>
        <w:jc w:val="both"/>
        <w:rPr>
          <w:rFonts w:ascii="宋体" w:hAnsi="宋体" w:eastAsia="宋体" w:cs="宋体"/>
          <w:bCs/>
          <w:color w:val="auto"/>
          <w:sz w:val="28"/>
          <w:szCs w:val="28"/>
          <w:highlight w:val="none"/>
        </w:rPr>
      </w:pPr>
      <w:bookmarkStart w:id="46" w:name="_Toc20823286"/>
      <w:bookmarkStart w:id="47" w:name="_Toc16938530"/>
      <w:bookmarkStart w:id="48" w:name="_Toc462564073"/>
      <w:bookmarkStart w:id="49" w:name="_Toc513029214"/>
      <w:r>
        <w:rPr>
          <w:rFonts w:hint="eastAsia" w:ascii="宋体" w:hAnsi="宋体" w:eastAsia="宋体" w:cs="宋体"/>
          <w:color w:val="auto"/>
          <w:sz w:val="28"/>
          <w:szCs w:val="28"/>
          <w:highlight w:val="none"/>
        </w:rPr>
        <w:t>1.投标文件的语言及度量衡单位</w:t>
      </w:r>
      <w:bookmarkEnd w:id="46"/>
      <w:bookmarkEnd w:id="47"/>
      <w:bookmarkEnd w:id="48"/>
      <w:bookmarkEnd w:id="49"/>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投标人提交的投标文件以及投标人与代理机构就有关投标的所有来往通知、函件和文件均应使用</w:t>
      </w:r>
      <w:r>
        <w:rPr>
          <w:rFonts w:hint="eastAsia" w:ascii="宋体" w:hAnsi="宋体" w:cs="宋体"/>
          <w:bCs/>
          <w:color w:val="auto"/>
          <w:sz w:val="28"/>
          <w:szCs w:val="28"/>
          <w:highlight w:val="none"/>
        </w:rPr>
        <w:t>简体中文</w:t>
      </w:r>
      <w:r>
        <w:rPr>
          <w:rFonts w:hint="eastAsia" w:ascii="宋体" w:hAnsi="宋体" w:cs="宋体"/>
          <w:color w:val="auto"/>
          <w:sz w:val="28"/>
          <w:szCs w:val="28"/>
          <w:highlight w:val="none"/>
        </w:rPr>
        <w:t>。</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除技术性能另有规定外，投标文件所使用的度量衡单位，均须采用国家法定计量单位。</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50" w:name="_Toc20823287"/>
      <w:bookmarkStart w:id="51" w:name="_Toc513029215"/>
      <w:bookmarkStart w:id="52" w:name="_Toc462564074"/>
      <w:bookmarkStart w:id="53" w:name="_Toc16938531"/>
      <w:r>
        <w:rPr>
          <w:rFonts w:hint="eastAsia" w:ascii="宋体" w:hAnsi="宋体" w:eastAsia="宋体" w:cs="宋体"/>
          <w:color w:val="auto"/>
          <w:sz w:val="28"/>
          <w:szCs w:val="28"/>
          <w:highlight w:val="none"/>
        </w:rPr>
        <w:t>2.投标文件构成</w:t>
      </w:r>
      <w:bookmarkEnd w:id="50"/>
      <w:bookmarkEnd w:id="51"/>
      <w:bookmarkEnd w:id="52"/>
      <w:bookmarkEnd w:id="53"/>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投标人编写的投标文件应包括资格审查文件、商务技术文件文件、价格文件文件、电子响应文件。供应商按“第五部分 投标文件组成”要求编写投标文件</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54" w:name="_Hlt26668975"/>
      <w:bookmarkEnd w:id="54"/>
      <w:bookmarkStart w:id="55" w:name="_Hlt26670360"/>
      <w:bookmarkEnd w:id="55"/>
      <w:bookmarkStart w:id="56" w:name="_Hlt26954838"/>
      <w:bookmarkEnd w:id="56"/>
      <w:bookmarkStart w:id="57" w:name="_Toc49090511"/>
      <w:bookmarkStart w:id="58" w:name="_Toc14577360"/>
      <w:r>
        <w:rPr>
          <w:rFonts w:hint="eastAsia" w:ascii="宋体" w:hAnsi="宋体" w:eastAsia="宋体" w:cs="宋体"/>
          <w:color w:val="auto"/>
          <w:sz w:val="28"/>
          <w:szCs w:val="28"/>
          <w:highlight w:val="none"/>
        </w:rPr>
        <w:t>3.投标有效期</w:t>
      </w:r>
      <w:bookmarkEnd w:id="57"/>
      <w:bookmarkEnd w:id="58"/>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3.1投标有效期为代理机构规定的开标之日后</w:t>
      </w:r>
      <w:r>
        <w:rPr>
          <w:rFonts w:hint="eastAsia" w:ascii="宋体" w:hAnsi="宋体" w:cs="宋体"/>
          <w:b/>
          <w:color w:val="auto"/>
          <w:sz w:val="28"/>
          <w:szCs w:val="28"/>
          <w:highlight w:val="none"/>
          <w:u w:val="single"/>
        </w:rPr>
        <w:t>六十（60）天</w:t>
      </w:r>
      <w:r>
        <w:rPr>
          <w:rFonts w:hint="eastAsia" w:ascii="宋体" w:hAnsi="宋体" w:cs="宋体"/>
          <w:bCs/>
          <w:color w:val="auto"/>
          <w:sz w:val="28"/>
          <w:szCs w:val="28"/>
          <w:highlight w:val="none"/>
        </w:rPr>
        <w:t>。投标有效期比规定短的将被视为非响应性投标而予以拒绝。</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4.投标有效期的延长</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宋体" w:hAnsi="宋体" w:cs="宋体"/>
          <w:color w:val="auto"/>
          <w:sz w:val="28"/>
          <w:szCs w:val="28"/>
          <w:highlight w:val="none"/>
        </w:rPr>
        <w:t>受投标有效期约束的所有权利与义务均延长至新的有效期</w:t>
      </w:r>
      <w:r>
        <w:rPr>
          <w:rFonts w:hint="eastAsia" w:ascii="宋体" w:hAnsi="宋体" w:cs="宋体"/>
          <w:bCs/>
          <w:color w:val="auto"/>
          <w:sz w:val="28"/>
          <w:szCs w:val="28"/>
          <w:highlight w:val="none"/>
        </w:rPr>
        <w:t>。</w:t>
      </w:r>
    </w:p>
    <w:p>
      <w:pPr>
        <w:pStyle w:val="6"/>
        <w:adjustRightInd w:val="0"/>
        <w:snapToGrid w:val="0"/>
        <w:spacing w:line="42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5.投标人资格要求</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5.1投标人应具备承担本项目的资格要求。</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59" w:name="_Hlt26954852"/>
      <w:bookmarkEnd w:id="59"/>
      <w:bookmarkStart w:id="60" w:name="_Hlt26954739"/>
      <w:bookmarkEnd w:id="60"/>
      <w:bookmarkStart w:id="61" w:name="_Toc20823296"/>
      <w:bookmarkStart w:id="62" w:name="_Toc16938540"/>
      <w:bookmarkStart w:id="63" w:name="_Toc120614217"/>
      <w:bookmarkStart w:id="64" w:name="_Toc513029224"/>
      <w:r>
        <w:rPr>
          <w:rFonts w:hint="eastAsia" w:ascii="宋体" w:hAnsi="宋体" w:cs="宋体"/>
          <w:color w:val="auto"/>
          <w:sz w:val="28"/>
          <w:szCs w:val="28"/>
          <w:highlight w:val="none"/>
        </w:rPr>
        <w:t>四、投标文件的递交</w:t>
      </w:r>
      <w:bookmarkEnd w:id="61"/>
      <w:bookmarkEnd w:id="62"/>
      <w:bookmarkEnd w:id="63"/>
      <w:bookmarkEnd w:id="64"/>
    </w:p>
    <w:p>
      <w:pPr>
        <w:adjustRightInd w:val="0"/>
        <w:snapToGrid w:val="0"/>
        <w:spacing w:line="420" w:lineRule="exact"/>
        <w:ind w:firstLine="560" w:firstLineChars="200"/>
        <w:rPr>
          <w:rFonts w:ascii="宋体" w:hAnsi="宋体" w:cs="宋体"/>
          <w:color w:val="auto"/>
          <w:kern w:val="0"/>
          <w:sz w:val="28"/>
          <w:szCs w:val="28"/>
          <w:highlight w:val="none"/>
        </w:rPr>
      </w:pPr>
      <w:bookmarkStart w:id="65" w:name="_Toc16938542"/>
      <w:bookmarkStart w:id="66" w:name="_Toc20823298"/>
      <w:bookmarkStart w:id="67" w:name="_Toc513029226"/>
      <w:r>
        <w:rPr>
          <w:rFonts w:hint="eastAsia" w:ascii="宋体" w:hAnsi="宋体" w:cs="宋体"/>
          <w:color w:val="auto"/>
          <w:kern w:val="0"/>
          <w:sz w:val="28"/>
          <w:szCs w:val="28"/>
          <w:highlight w:val="none"/>
        </w:rPr>
        <w:t>1.投标文件的组成</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1.1纸质投标文件分资格审查文件、商务技术文件、价格文件三部分内容。每一部分内容均须提供“一份正本、一份副本”纸质响应文件，须分别单独牢固装订，不得相互混淆，文件自编目录并连续标注页码，不得将内容拆开。价格文件不得出现于资格审查文件和商务技术文件中。</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1.2纸质响应文件分三个密封袋（箱）提交。其中：</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资格审查文件的正、副本纸质响应文件密封在一个单独的密封袋内；</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商务技术文件的正、副本纸质响应文件及图纸类（如需提供图纸等其它资料的话）等密封在一个单独的密封袋或密封箱内（如有A3大小的图纸类，可单独密封）；</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价格文件的正、副本纸质响应文件密封在一个单独的密封袋内。</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1.3纸质投标文件须采用A4纸（图纸等除外），正、副本须打印并由法定代表人或授权人签字并加盖单位印章。文件内容中不得行间插字、涂改、增删，如修补错漏处，须由投标文件签署人签字并加盖公章。</w:t>
      </w:r>
    </w:p>
    <w:p>
      <w:pPr>
        <w:adjustRightInd w:val="0"/>
        <w:snapToGrid w:val="0"/>
        <w:spacing w:line="42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1.4.电子投标文件（一份，单独密封提交）</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本项目要求提供电子响应文件一份，电子响应文件的内容为资格审查文件、商务技术文件、价格文件文件打印盖章（或电子签章）后的响应文件的扫描件（资格审查文件、商务技术文件、价格文件需分别逐页连续扫描为三个独立的PDF文件），可以采取U盘、电子光盘两种方式中任意一种方式提交，需单独密封提交。</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电子响应文件内容应与提交的纸质响应文件内容一致。否则，由此产生的后果投标人自负。</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1.5响应文件密封后应标明响应文件项目名称、项目编号、边缝处加盖单位骑缝章或骑缝签字等关键信息，</w:t>
      </w:r>
      <w:r>
        <w:rPr>
          <w:rFonts w:hint="eastAsia" w:ascii="宋体" w:hAnsi="宋体" w:cs="宋体"/>
          <w:b/>
          <w:bCs/>
          <w:color w:val="auto"/>
          <w:kern w:val="0"/>
          <w:sz w:val="28"/>
          <w:szCs w:val="28"/>
          <w:highlight w:val="none"/>
        </w:rPr>
        <w:t>密封完好以不泄露投标文件内容为主要判断依据</w:t>
      </w:r>
      <w:r>
        <w:rPr>
          <w:rFonts w:hint="eastAsia" w:ascii="宋体" w:hAnsi="宋体" w:cs="宋体"/>
          <w:color w:val="auto"/>
          <w:kern w:val="0"/>
          <w:sz w:val="28"/>
          <w:szCs w:val="28"/>
          <w:highlight w:val="none"/>
        </w:rPr>
        <w:t>。</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1.6递交时间：供应商须在规定的响应文件接收截止时间前送达指定地点。供应商提交投标文件，即视为已响应参加政府采购活动。</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kern w:val="0"/>
          <w:sz w:val="28"/>
          <w:szCs w:val="28"/>
          <w:highlight w:val="none"/>
        </w:rPr>
        <w:t>友情提醒：代理机构将拒绝接收未按照招标文件要求密封的响应文件，拒绝接收在响应文件接收截止时间后递交的响应文件。</w:t>
      </w:r>
    </w:p>
    <w:p>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2.投标截止日期</w:t>
      </w:r>
      <w:bookmarkEnd w:id="65"/>
      <w:bookmarkEnd w:id="66"/>
      <w:bookmarkEnd w:id="67"/>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2.1 供应商提交响应文件的时间不得迟于招标公告中规定的响应文件提交截止时间。</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供应商应充分考虑到交通路况、停车、疫情管控等风险因素，如因供应商自身原因造成的投标响应文件提交不成功由供应商自行承担全部责任。</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2.2</w:t>
      </w:r>
      <w:r>
        <w:rPr>
          <w:rFonts w:hint="eastAsia" w:ascii="宋体" w:hAnsi="宋体" w:cs="宋体"/>
          <w:bCs/>
          <w:color w:val="auto"/>
          <w:sz w:val="28"/>
          <w:szCs w:val="28"/>
          <w:highlight w:val="none"/>
        </w:rPr>
        <w:t>代理机构可以按照规定，通过修改招标文件酌情延长投标截止日期，在此情况下，投标人的所有权利和义务以及投标人受制的截止日期均应以延长后新的截止日期为准。</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68" w:name="_Toc16938543"/>
      <w:bookmarkStart w:id="69" w:name="_Toc20823299"/>
      <w:bookmarkStart w:id="70" w:name="_Toc513029227"/>
      <w:r>
        <w:rPr>
          <w:rFonts w:hint="eastAsia" w:ascii="宋体" w:hAnsi="宋体" w:eastAsia="宋体" w:cs="宋体"/>
          <w:color w:val="auto"/>
          <w:sz w:val="28"/>
          <w:szCs w:val="28"/>
          <w:highlight w:val="none"/>
        </w:rPr>
        <w:t>3.投标文件</w:t>
      </w:r>
      <w:bookmarkEnd w:id="68"/>
      <w:bookmarkEnd w:id="69"/>
      <w:bookmarkEnd w:id="70"/>
      <w:r>
        <w:rPr>
          <w:rFonts w:hint="eastAsia" w:ascii="宋体" w:hAnsi="宋体" w:eastAsia="宋体" w:cs="宋体"/>
          <w:color w:val="auto"/>
          <w:sz w:val="28"/>
          <w:szCs w:val="28"/>
          <w:highlight w:val="none"/>
        </w:rPr>
        <w:t>的拒收</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 代理机构拒绝接收在其规定的投标截止时间后提交的任何投标文件。</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71" w:name="_Toc20823300"/>
      <w:bookmarkStart w:id="72" w:name="_Toc16938544"/>
      <w:bookmarkStart w:id="73" w:name="_Toc513029228"/>
      <w:r>
        <w:rPr>
          <w:rFonts w:hint="eastAsia" w:ascii="宋体" w:hAnsi="宋体" w:eastAsia="宋体" w:cs="宋体"/>
          <w:color w:val="auto"/>
          <w:sz w:val="28"/>
          <w:szCs w:val="28"/>
          <w:highlight w:val="none"/>
        </w:rPr>
        <w:t>4.投标文件的撤回和修改</w:t>
      </w:r>
      <w:bookmarkEnd w:id="71"/>
      <w:bookmarkEnd w:id="72"/>
      <w:bookmarkEnd w:id="73"/>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 响应文件的撤回</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4.1.1供应商可在响应文件提交截止时间前，书面撤回其投标响应文件。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4.1.2 投标人撤回投标文件，则认为其不再参与本项目投标活动。</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 投标文件的修改</w:t>
      </w:r>
    </w:p>
    <w:p>
      <w:pPr>
        <w:pStyle w:val="5"/>
        <w:adjustRightInd w:val="0"/>
        <w:snapToGrid w:val="0"/>
        <w:spacing w:before="0" w:after="0" w:line="420" w:lineRule="exact"/>
        <w:ind w:firstLine="560" w:firstLineChars="200"/>
        <w:rPr>
          <w:rFonts w:ascii="宋体" w:hAnsi="宋体" w:cs="宋体"/>
          <w:b w:val="0"/>
          <w:bCs w:val="0"/>
          <w:color w:val="auto"/>
          <w:sz w:val="28"/>
          <w:szCs w:val="28"/>
          <w:highlight w:val="none"/>
        </w:rPr>
      </w:pPr>
      <w:bookmarkStart w:id="74" w:name="_Toc120614218"/>
      <w:bookmarkStart w:id="75" w:name="_Toc513029229"/>
      <w:bookmarkStart w:id="76" w:name="_Toc20823301"/>
      <w:bookmarkStart w:id="77" w:name="_Toc16938545"/>
      <w:r>
        <w:rPr>
          <w:rFonts w:hint="eastAsia" w:ascii="宋体" w:hAnsi="宋体" w:cs="宋体"/>
          <w:b w:val="0"/>
          <w:bCs w:val="0"/>
          <w:color w:val="auto"/>
          <w:sz w:val="28"/>
          <w:szCs w:val="28"/>
          <w:highlight w:val="none"/>
        </w:rPr>
        <w:t>在响应文件提交截止时间之后，供应商不得再对其提交的响应文件进行修改。</w:t>
      </w:r>
    </w:p>
    <w:p>
      <w:pPr>
        <w:pStyle w:val="5"/>
        <w:adjustRightInd w:val="0"/>
        <w:snapToGrid w:val="0"/>
        <w:spacing w:before="0" w:after="0" w:line="420" w:lineRule="exact"/>
        <w:ind w:firstLine="562" w:firstLineChars="200"/>
        <w:rPr>
          <w:rFonts w:ascii="宋体" w:hAnsi="宋体" w:cs="宋体"/>
          <w:color w:val="auto"/>
          <w:sz w:val="28"/>
          <w:szCs w:val="28"/>
          <w:highlight w:val="none"/>
        </w:rPr>
      </w:pPr>
      <w:r>
        <w:rPr>
          <w:rFonts w:hint="eastAsia" w:ascii="宋体" w:hAnsi="宋体" w:cs="宋体"/>
          <w:color w:val="auto"/>
          <w:sz w:val="28"/>
          <w:szCs w:val="28"/>
          <w:highlight w:val="none"/>
        </w:rPr>
        <w:t>五、开标与评标</w:t>
      </w:r>
      <w:bookmarkEnd w:id="74"/>
      <w:bookmarkEnd w:id="75"/>
      <w:bookmarkEnd w:id="76"/>
      <w:bookmarkEnd w:id="77"/>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78" w:name="_Toc513029230"/>
      <w:bookmarkStart w:id="79" w:name="_Toc20823302"/>
      <w:bookmarkStart w:id="80" w:name="_Toc16938546"/>
      <w:r>
        <w:rPr>
          <w:rFonts w:hint="eastAsia" w:ascii="宋体" w:hAnsi="宋体" w:eastAsia="宋体" w:cs="宋体"/>
          <w:color w:val="auto"/>
          <w:sz w:val="28"/>
          <w:szCs w:val="28"/>
          <w:highlight w:val="none"/>
        </w:rPr>
        <w:t>1开标</w:t>
      </w:r>
      <w:bookmarkEnd w:id="78"/>
      <w:bookmarkEnd w:id="79"/>
      <w:bookmarkEnd w:id="80"/>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1.1 代理机构将在招标公告中规定的时间和地点组织公开开标。投标人应当按时在指定地点参加开标活动。</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1.2开标仪</w:t>
      </w:r>
      <w:r>
        <w:rPr>
          <w:rFonts w:hint="eastAsia" w:ascii="宋体" w:hAnsi="宋体" w:cs="宋体"/>
          <w:color w:val="auto"/>
          <w:sz w:val="28"/>
          <w:szCs w:val="28"/>
          <w:highlight w:val="none"/>
        </w:rPr>
        <w:t>式由代理机构组织。</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1" w:name="_Toc16938547"/>
      <w:bookmarkStart w:id="82" w:name="_Toc513029231"/>
      <w:bookmarkStart w:id="83" w:name="_Toc20823303"/>
      <w:r>
        <w:rPr>
          <w:rFonts w:hint="eastAsia" w:ascii="宋体" w:hAnsi="宋体" w:eastAsia="宋体" w:cs="宋体"/>
          <w:color w:val="auto"/>
          <w:sz w:val="28"/>
          <w:szCs w:val="28"/>
          <w:highlight w:val="none"/>
        </w:rPr>
        <w:t>2评标委员会</w:t>
      </w:r>
    </w:p>
    <w:p>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2.1开标后，代理机构将立即组织评标委员会（以下简称评委会）进行评标。</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评委会由招标人代表和有关技术、经济等方面的专家组成，且人员构成符合政府采购有关规定。</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2.3评委会独立工作，负责评审所有投标文件并确定中标侯选人。</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3.评标过程的保密与公正</w:t>
      </w:r>
    </w:p>
    <w:bookmarkEnd w:id="81"/>
    <w:bookmarkEnd w:id="82"/>
    <w:bookmarkEnd w:id="83"/>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3.1</w:t>
      </w:r>
      <w:r>
        <w:rPr>
          <w:rFonts w:hint="eastAsia" w:ascii="宋体" w:hAnsi="宋体" w:cs="宋体"/>
          <w:bCs/>
          <w:color w:val="auto"/>
          <w:sz w:val="28"/>
          <w:szCs w:val="28"/>
          <w:highlight w:val="none"/>
        </w:rPr>
        <w:t>公开开标后，直至向中标的投标人授予合同时止，凡是与审查、澄清、评价和比较投标的有关资料以及授标建议等，招标人、评委、代理机构均不得向投标人或与评标无关的其他人员透露。</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3.2在评标过程中，投标人不得以任何行为影响评标过程，否则其投标文件将被作为无效投标文件。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3.3在评标期间，代理机构将设专门人员与投标人联系。</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3.4 代理机构和评标委员会不向未中标的投标人解释未中标原因，也不公布评标过程中的相关细节。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 采用综合评分法的项目，公布评标结果时一并公布所有投标人的评审得分及排序情况。</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4" w:name="_Toc513029232"/>
      <w:bookmarkStart w:id="85" w:name="_Toc20823304"/>
      <w:bookmarkStart w:id="86" w:name="_Toc16938548"/>
      <w:r>
        <w:rPr>
          <w:rFonts w:hint="eastAsia" w:ascii="宋体" w:hAnsi="宋体" w:eastAsia="宋体" w:cs="宋体"/>
          <w:color w:val="auto"/>
          <w:sz w:val="28"/>
          <w:szCs w:val="28"/>
          <w:highlight w:val="none"/>
        </w:rPr>
        <w:t>4.投标的澄清</w:t>
      </w:r>
      <w:bookmarkEnd w:id="84"/>
      <w:bookmarkEnd w:id="85"/>
      <w:bookmarkEnd w:id="86"/>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4.1评标期间，为有助于对投标文件的审查、评价和比较，评委会有权要求投标人对其投标文件进行澄清，但并非对每个投标人都作澄清要求。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4.2接到评委会澄清要求的投标人应按评委会规定的时间和格式做出澄清，澄清的内容作为投标文件的补充部分，但投标的价格和实质性的内容不得做任何更改。</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4.3 接到评委会澄清要求的投标人如未按规定做出澄清，其风险由投标人自行承担。</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7" w:name="_Toc16938549"/>
      <w:bookmarkStart w:id="88" w:name="_Toc513029233"/>
      <w:bookmarkStart w:id="89" w:name="_Toc20823305"/>
      <w:r>
        <w:rPr>
          <w:rFonts w:hint="eastAsia" w:ascii="宋体" w:hAnsi="宋体" w:eastAsia="宋体" w:cs="宋体"/>
          <w:color w:val="auto"/>
          <w:sz w:val="28"/>
          <w:szCs w:val="28"/>
          <w:highlight w:val="none"/>
        </w:rPr>
        <w:t>5对投标文件的初审</w:t>
      </w:r>
      <w:bookmarkEnd w:id="87"/>
      <w:bookmarkEnd w:id="88"/>
      <w:bookmarkEnd w:id="89"/>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5.1</w:t>
      </w:r>
      <w:r>
        <w:rPr>
          <w:rFonts w:hint="eastAsia" w:ascii="宋体" w:hAnsi="宋体" w:cs="宋体"/>
          <w:bCs/>
          <w:color w:val="auto"/>
          <w:sz w:val="28"/>
          <w:szCs w:val="28"/>
          <w:highlight w:val="none"/>
        </w:rPr>
        <w:t>投标文件初审分为资格审查和符合性审查。</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5.1.1 资格审查：依据法律法规和招标文件的规定，由招标人对投标文件中的资格证明文件进行审查。</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5.1.2 符合性审查：依据招标文件的规定，由评委会从投标文件的有效性、完整性和对招标文件的响应程度进行审查，以确定是否对招标文件的实质性要求作出响应。</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5.1.3 未通过资格审查或符合性审查的投标人，代理机构将告知未通过资格审查或符合性审查的原因。</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auto"/>
          <w:sz w:val="28"/>
          <w:szCs w:val="28"/>
          <w:highlight w:val="none"/>
        </w:rPr>
        <w:t>评委决定投标文件的响应性只根据投标文件本身的内容，而不寻求外部的证据。</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5.3</w:t>
      </w:r>
      <w:r>
        <w:rPr>
          <w:rFonts w:hint="eastAsia" w:ascii="宋体" w:hAnsi="宋体" w:cs="宋体"/>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5.4</w:t>
      </w:r>
      <w:r>
        <w:rPr>
          <w:rFonts w:hint="eastAsia" w:ascii="宋体" w:hAnsi="宋体" w:cs="宋体"/>
          <w:bCs/>
          <w:color w:val="auto"/>
          <w:sz w:val="28"/>
          <w:szCs w:val="28"/>
          <w:highlight w:val="none"/>
        </w:rPr>
        <w:t>评委会将对确定为实质性响应的投标进行进一步审核，看其是否有计算上或累加上的算术错误，修正错误的原则如下：</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（1）投标文件中开标一览表内容与投标文件中相应内容不一致的，以开标一览表为准。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（2）大写金额和小写金额不一致的，以大写金额为准。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（3）单价金额小数点或者百分比有明显错位的，以开标一览表的总价为准，并修改单价。</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（4）总价金额与按单价汇总金额不一致的，以单价金额计算结果为准。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同时出现两种以上错误的，按照前款规定的顺序修正。</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5.5</w:t>
      </w:r>
      <w:r>
        <w:rPr>
          <w:rFonts w:hint="eastAsia" w:ascii="宋体" w:hAnsi="宋体" w:cs="宋体"/>
          <w:bCs/>
          <w:color w:val="auto"/>
          <w:sz w:val="28"/>
          <w:szCs w:val="28"/>
          <w:highlight w:val="none"/>
        </w:rPr>
        <w:t>评委会将按上述修正错误的方法调整投标文件中的投标报价，并告知投标人，调整后的价格应对投标人具有约束力。如果投标人不接受修正后的价格，则其投标将被拒绝。</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5.6</w:t>
      </w:r>
      <w:r>
        <w:rPr>
          <w:rFonts w:hint="eastAsia" w:ascii="宋体" w:hAnsi="宋体" w:cs="宋体"/>
          <w:bCs/>
          <w:color w:val="auto"/>
          <w:sz w:val="28"/>
          <w:szCs w:val="28"/>
          <w:highlight w:val="none"/>
        </w:rPr>
        <w:t>评委会将允许修正投标文件中不构成重大偏离的、微小的、非正规的、不一致的或不规则的地方，但这些修改不能影响任何投标人相应的名次排列。</w:t>
      </w:r>
    </w:p>
    <w:p>
      <w:pPr>
        <w:adjustRightInd w:val="0"/>
        <w:snapToGrid w:val="0"/>
        <w:spacing w:line="420" w:lineRule="exact"/>
        <w:ind w:firstLine="560" w:firstLineChars="200"/>
        <w:rPr>
          <w:rFonts w:ascii="宋体" w:hAnsi="宋体" w:cs="宋体"/>
          <w:color w:val="auto"/>
          <w:sz w:val="28"/>
          <w:szCs w:val="28"/>
          <w:highlight w:val="none"/>
        </w:rPr>
      </w:pPr>
      <w:bookmarkStart w:id="90" w:name="_Toc513029234"/>
      <w:bookmarkStart w:id="91" w:name="_Toc20823306"/>
      <w:bookmarkStart w:id="92" w:name="_Toc16938550"/>
      <w:r>
        <w:rPr>
          <w:rFonts w:hint="eastAsia" w:ascii="宋体" w:hAnsi="宋体" w:cs="宋体"/>
          <w:color w:val="auto"/>
          <w:sz w:val="28"/>
          <w:szCs w:val="28"/>
          <w:highlight w:val="none"/>
        </w:rPr>
        <w:t>5.7投标人在开、评标全过程中应保持通讯畅通，并安排专人与代理机构及评标委员会联系。</w:t>
      </w:r>
    </w:p>
    <w:bookmarkEnd w:id="90"/>
    <w:bookmarkEnd w:id="91"/>
    <w:bookmarkEnd w:id="92"/>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6.无效投标条款和废标条款</w:t>
      </w:r>
    </w:p>
    <w:p>
      <w:pPr>
        <w:tabs>
          <w:tab w:val="left" w:pos="6555"/>
          <w:tab w:val="right" w:pos="8306"/>
        </w:tabs>
        <w:adjustRightInd w:val="0"/>
        <w:snapToGrid w:val="0"/>
        <w:spacing w:line="420" w:lineRule="exact"/>
        <w:ind w:firstLine="560" w:firstLineChars="200"/>
        <w:rPr>
          <w:rFonts w:ascii="宋体" w:hAnsi="宋体" w:cs="宋体"/>
          <w:b/>
          <w:color w:val="auto"/>
          <w:sz w:val="28"/>
          <w:szCs w:val="28"/>
          <w:highlight w:val="none"/>
        </w:rPr>
      </w:pPr>
      <w:bookmarkStart w:id="93" w:name="_Toc513029235"/>
      <w:bookmarkStart w:id="94" w:name="_Toc20823307"/>
      <w:bookmarkStart w:id="95" w:name="_Toc16938551"/>
      <w:r>
        <w:rPr>
          <w:rFonts w:hint="eastAsia" w:ascii="宋体" w:hAnsi="宋体" w:cs="宋体"/>
          <w:bCs/>
          <w:color w:val="auto"/>
          <w:sz w:val="28"/>
          <w:szCs w:val="28"/>
          <w:highlight w:val="none"/>
        </w:rPr>
        <w:t>6.1出现下列情形之一的，作无效响应处理。</w:t>
      </w:r>
      <w:r>
        <w:rPr>
          <w:rFonts w:hint="eastAsia" w:ascii="宋体" w:hAnsi="宋体" w:cs="宋体"/>
          <w:bCs/>
          <w:color w:val="auto"/>
          <w:sz w:val="28"/>
          <w:szCs w:val="28"/>
          <w:highlight w:val="none"/>
        </w:rPr>
        <w:tab/>
      </w:r>
      <w:r>
        <w:rPr>
          <w:rFonts w:hint="eastAsia" w:ascii="宋体" w:hAnsi="宋体" w:cs="宋体"/>
          <w:b/>
          <w:color w:val="auto"/>
          <w:sz w:val="28"/>
          <w:szCs w:val="28"/>
          <w:highlight w:val="none"/>
        </w:rPr>
        <w:tab/>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6.1.1供应商在规定的时间内未成功提交响应文件的。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6.1.2未完整提交响应文件的。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6.1.3同一投标人提交两个（含两个）以上不同的响应报价的。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6.1.4不具备招标文件中规定的资格要求的。 </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6.1.5未通过符合性检查的。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6.1.6不符合法律、法规和招标文件中规定的其他实质性要求的。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6.1.7供应商被 “信用中国”网站（www.creditchina.gov.cn）列入失信被执行人或重大税收违法案件当事人名单或采购严重失信行为记录名单，或查询“信用中国”网站后发现供应商存在其他不符合合格投标人资格条件的信用记录。</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6.1.8响应文件含有招标人不能接受的附加条件的。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6.1.9评标小组认为投标人的报价明显低于其他通过符合性审查供应商的报价，有可能影响产品质量或者不能诚信履约的，将要求其在合理的时间内提供说明，必要时提交相关证明材料；投标人不能证明其报价合理性的，评标小组应当将其作为无效响应处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6.1.10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6.1.11响应文件未按照招标文件要求盖章、密封的。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6.1.12投标人的商务技术部分得分相差悬殊，评标委员会认为得分畸低者没有实质性响应的。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6.1.13其他法律、法规及本招标文件规定的属无效响应的情形。</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6.2废标条款：</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6.2.1符合专业条件的供应商或者对招标文件作实质响应的供应商不足三家的。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6.2.2出现影响采购公正的违法、违规行为的。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6.2.3因重大变故，采购任务取消的。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6.2.4评标委员会认定招标文件存在歧义、重大缺陷导致评审工作无法进行。</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6.2.5 因系统故障原因造成开评标无法继续进行的（适用于不见面开标模式）。</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 投标截止时间结束后参加投标的供应商不足三家的处理：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6.3.1如出现投标截止时间结束后参加投标的供应商或者在评标期间对招标文件做出实质响应的供应商不足三家情况，按政府采购相关规定执行。</w:t>
      </w:r>
    </w:p>
    <w:bookmarkEnd w:id="93"/>
    <w:bookmarkEnd w:id="94"/>
    <w:bookmarkEnd w:id="95"/>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96" w:name="_Toc120614219"/>
      <w:r>
        <w:rPr>
          <w:rFonts w:hint="eastAsia" w:ascii="宋体" w:hAnsi="宋体" w:cs="宋体"/>
          <w:color w:val="auto"/>
          <w:sz w:val="28"/>
          <w:szCs w:val="28"/>
          <w:highlight w:val="none"/>
        </w:rPr>
        <w:t>六、定标</w:t>
      </w:r>
      <w:bookmarkEnd w:id="96"/>
    </w:p>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bookmarkStart w:id="97" w:name="_Toc16938554"/>
      <w:bookmarkStart w:id="98" w:name="_Toc20823310"/>
      <w:r>
        <w:rPr>
          <w:rFonts w:hint="eastAsia" w:ascii="宋体" w:hAnsi="宋体" w:eastAsia="宋体" w:cs="宋体"/>
          <w:color w:val="auto"/>
          <w:sz w:val="28"/>
          <w:szCs w:val="28"/>
          <w:highlight w:val="none"/>
        </w:rPr>
        <w:t>1.确定</w:t>
      </w:r>
      <w:bookmarkEnd w:id="97"/>
      <w:bookmarkEnd w:id="98"/>
      <w:r>
        <w:rPr>
          <w:rFonts w:hint="eastAsia" w:ascii="宋体" w:hAnsi="宋体" w:eastAsia="宋体" w:cs="宋体"/>
          <w:color w:val="auto"/>
          <w:sz w:val="28"/>
          <w:szCs w:val="28"/>
          <w:highlight w:val="none"/>
        </w:rPr>
        <w:t>中标单位</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1.1中标候选人的选取原则和数量见招标文件第四部分规定。 </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1.2招标人授权评委会在中标候选人中直接确定中标人。</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1.3</w:t>
      </w:r>
      <w:r>
        <w:rPr>
          <w:rFonts w:hint="eastAsia" w:ascii="宋体" w:hAnsi="宋体" w:cs="宋体"/>
          <w:color w:val="auto"/>
          <w:sz w:val="28"/>
          <w:szCs w:val="28"/>
          <w:highlight w:val="none"/>
        </w:rPr>
        <w:t>代理机构将在“江苏航运职业技术学院网站”发布中标公告，公告期限为1个工作日。</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1.4若有充分证据证明，中标人出现下列情况之一的，一经查实，将被取消中标资格：</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1.4.1提供虚假材料谋取中标的。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1.4.2向招标人、代理机构行贿或者提供其他不正当利益的。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1.4.3恶意竞争，投标总报价明显低于其自身合理成本且又无法提供证明的。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1.4.4属于本文件规定的无效条件，但在评标过程中又未被评委会发现的。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1.4.5与招标人或者其他供应商恶意串通的。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1.4.6采取不正当手段诋毁、排挤其他供应商的。</w:t>
      </w:r>
    </w:p>
    <w:p>
      <w:pPr>
        <w:adjustRightInd w:val="0"/>
        <w:snapToGrid w:val="0"/>
        <w:spacing w:line="420" w:lineRule="exact"/>
        <w:ind w:firstLine="560" w:firstLineChars="200"/>
        <w:rPr>
          <w:rFonts w:ascii="宋体" w:hAnsi="宋体" w:cs="宋体"/>
          <w:color w:val="auto"/>
          <w:sz w:val="28"/>
          <w:szCs w:val="28"/>
          <w:highlight w:val="none"/>
        </w:rPr>
      </w:pPr>
      <w:bookmarkStart w:id="99" w:name="_Toc200451960"/>
      <w:r>
        <w:rPr>
          <w:rFonts w:hint="eastAsia" w:ascii="宋体" w:hAnsi="宋体" w:cs="宋体"/>
          <w:color w:val="auto"/>
          <w:sz w:val="28"/>
          <w:szCs w:val="28"/>
          <w:highlight w:val="none"/>
        </w:rPr>
        <w:t>1.5.</w:t>
      </w:r>
      <w:r>
        <w:rPr>
          <w:rFonts w:hint="eastAsia" w:ascii="宋体" w:hAnsi="宋体" w:cs="宋体"/>
          <w:color w:val="auto"/>
          <w:kern w:val="0"/>
          <w:sz w:val="28"/>
          <w:szCs w:val="28"/>
          <w:highlight w:val="none"/>
        </w:rPr>
        <w:t>有下列情形之一的，视为投标人串通投标，投标无效：</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1.5.1不同投标人的投标文件由同一单位或者个人编制；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1.5.2不同投标人委托同一单位或者个人办理投标事宜；</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1.5.3不同投标人的投标文件载明的项目管理成员或者联系人员为同一人；</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1.5.4不同投标人的投标文件异常一致或者投标报价呈规律性差异；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1.5.5不同投标人的投标文件相互混装；</w:t>
      </w:r>
    </w:p>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2.质疑处理</w:t>
      </w:r>
      <w:bookmarkEnd w:id="99"/>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提出质疑的供应商应当是参与所质疑项目采购活动的供应商。潜在供应商依法获取其可质疑的采购文件的，可以对采购文件提出质疑。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2.2.1</w:t>
      </w:r>
      <w:r>
        <w:rPr>
          <w:rFonts w:hint="eastAsia" w:ascii="宋体" w:hAnsi="宋体" w:cs="宋体"/>
          <w:color w:val="auto"/>
          <w:kern w:val="0"/>
          <w:sz w:val="28"/>
          <w:szCs w:val="28"/>
          <w:highlight w:val="none"/>
        </w:rPr>
        <w:t>对可以质疑的采购文件提出质疑的，为收到采购文件之日或者采购文件公告期限届满之日；</w:t>
      </w:r>
    </w:p>
    <w:p>
      <w:pPr>
        <w:adjustRightInd w:val="0"/>
        <w:snapToGrid w:val="0"/>
        <w:spacing w:line="42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sz w:val="28"/>
          <w:szCs w:val="28"/>
          <w:highlight w:val="none"/>
        </w:rPr>
        <w:t>2.2.2</w:t>
      </w:r>
      <w:r>
        <w:rPr>
          <w:rFonts w:hint="eastAsia" w:ascii="宋体" w:hAnsi="宋体" w:cs="宋体"/>
          <w:b/>
          <w:bCs/>
          <w:color w:val="auto"/>
          <w:kern w:val="0"/>
          <w:sz w:val="28"/>
          <w:szCs w:val="28"/>
          <w:highlight w:val="none"/>
        </w:rPr>
        <w:t>对采购过程提出质疑的，为各采购程序环节结束之日；</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质疑投诉。</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2.2.3</w:t>
      </w:r>
      <w:r>
        <w:rPr>
          <w:rFonts w:hint="eastAsia" w:ascii="宋体" w:hAnsi="宋体" w:cs="宋体"/>
          <w:color w:val="auto"/>
          <w:kern w:val="0"/>
          <w:sz w:val="28"/>
          <w:szCs w:val="28"/>
          <w:highlight w:val="none"/>
        </w:rPr>
        <w:t>对中标或者成交结果提出质疑的，为中标或者成交结果公告期限届满之日。</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供应商应当在法定质疑期内一次性提出针对同一采购程序环节的质疑。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2.3质疑函必须按照本招标文件中《质疑函范本》要求的格式和内容进行填写。</w:t>
      </w:r>
    </w:p>
    <w:p>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2.4对采购方式、招标文件中项目需求、供应商资格条件、评标方法和评标标准、资格审查结果等应当由招标人答复的质疑，请向招标人提出，由招标人负责答复。供应商对其他事项的质疑，请向代理机构提出，由代理机构负责答复。</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供应商提起质疑采取书面形式，可以现场送达，也可以邮寄。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质疑受理联系地址：南通市崇川路58号南通产业技术研究院9号楼10楼1004，联系电话：0513-55887688。</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招标人质疑接收人及联系方式，见招标文件第一部分。</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2.5供应商提出质疑应当提交质疑函和必要的证明材料，否则不予受理。质疑函应当包括下列内容：</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供应商的姓名或者名称、地址、邮编、联系人及联系电话；</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质疑项目的名称、编号；</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具体、明确的质疑事项和与质疑事项相关的请求；</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事实依据；</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必要的法律依据；</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提出质疑的日期。</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供应商为自然人的，应当由本人签字；供应商为法人或者其他组织的，应当由法定代表人、主要负责人，或者其授权代表签字或者盖章，并加盖公章。</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 以下情形的质疑不予受理</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2.5.1 内容不符合上述规定的质疑。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2.5.2 超出采购法定期限的质疑。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2.5.3 未参加招标活动的供应商或在招标活动中自身权益未受到损害的供应商所提出的质疑。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2.6 投标人提出书面质疑必须有理、有据，不得捏造事实、提供虚假材料进行恶意质疑。否则，一经查实，招标代理机构有权依据招标的有关规定，报请采购监管部门对该供应商进行相应的行政处罚和记录该供应商的失信信息。</w:t>
      </w:r>
    </w:p>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3.中标通知书</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3.l中标结果确定后，招标人将向中标供应商发出中标通知书。成交供应商应在成交结果公告期满后5个工作日内到采购代理机构办理领取成交通知书手续，否则，由此产生的后果供应商自负。</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3.2中标通知书将是合同的一个组成部分。对招标人和中标供应商均具有法律效力。中标通知书发出后，招标人改变中标结果的，或者中标供应商放弃中标项目的，应当依法承担法律责任。</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100" w:name="_Toc120614220"/>
      <w:bookmarkStart w:id="101" w:name="_Toc16938552"/>
      <w:bookmarkStart w:id="102" w:name="_Toc513029236"/>
      <w:bookmarkStart w:id="103" w:name="_Toc20823308"/>
      <w:r>
        <w:rPr>
          <w:rFonts w:hint="eastAsia" w:ascii="宋体" w:hAnsi="宋体" w:cs="宋体"/>
          <w:color w:val="auto"/>
          <w:sz w:val="28"/>
          <w:szCs w:val="28"/>
          <w:highlight w:val="none"/>
        </w:rPr>
        <w:t>七、授予合同</w:t>
      </w:r>
      <w:bookmarkEnd w:id="100"/>
    </w:p>
    <w:bookmarkEnd w:id="101"/>
    <w:bookmarkEnd w:id="102"/>
    <w:bookmarkEnd w:id="103"/>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bookmarkStart w:id="104" w:name="_Toc16938553"/>
      <w:bookmarkStart w:id="105" w:name="_Toc513029237"/>
      <w:bookmarkStart w:id="106" w:name="_Toc20823309"/>
      <w:r>
        <w:rPr>
          <w:rFonts w:hint="eastAsia" w:ascii="宋体" w:hAnsi="宋体" w:eastAsia="宋体" w:cs="宋体"/>
          <w:color w:val="auto"/>
          <w:sz w:val="28"/>
          <w:szCs w:val="28"/>
          <w:highlight w:val="none"/>
        </w:rPr>
        <w:t>1.签订合同</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.l中标人应当在中标通知书发出之日起三十日内，按照招标文件确定的事项与招标人签订政府采购合同。</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1.2招标文件、中标人的投标文件及招标过程中有关澄清、承诺文件均应作为合同附件。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签订合同后，中标人不得将服务进行转包。未经招标人同意，中标人也不得采用分包的形式履行合同，否则招标人有权终止合同。政府采购合同分包履行的，中标、成交供应商就采购项目和分包项目向招标人负责，分包供应商就分包项目承担责任。转包或分包造成招标人损失的，中标人应承担相应赔偿责任。</w:t>
      </w:r>
    </w:p>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2.服务的追加、减少和添购。</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2.1政府采购合同履行中，招标人需追加与合同标的相同的服务的，在不改变合同其他条款的前提下，可以与中标人协商签订补充合同，但所有补充合同的采购金额不超过原合同金额10%。</w:t>
      </w:r>
    </w:p>
    <w:p>
      <w:pPr>
        <w:adjustRightInd w:val="0"/>
        <w:snapToGrid w:val="0"/>
        <w:spacing w:line="420" w:lineRule="exact"/>
        <w:ind w:firstLine="560" w:firstLineChars="200"/>
        <w:rPr>
          <w:rFonts w:ascii="宋体" w:hAnsi="宋体" w:cs="宋体"/>
          <w:bCs/>
          <w:color w:val="auto"/>
          <w:sz w:val="36"/>
          <w:szCs w:val="36"/>
          <w:highlight w:val="none"/>
        </w:rPr>
      </w:pPr>
      <w:r>
        <w:rPr>
          <w:rFonts w:hint="eastAsia" w:ascii="宋体" w:hAnsi="宋体" w:cs="宋体"/>
          <w:color w:val="auto"/>
          <w:sz w:val="28"/>
          <w:szCs w:val="28"/>
          <w:highlight w:val="none"/>
        </w:rPr>
        <w:t>2.2采购结束后，招标人若由于各种客观原因，必须对采购项目所牵涉的服务进行适当的减少时，在双方协商一致的前提下，可以按照招标采购时的价格水平做相应的调减，并据此签订补充合同。</w:t>
      </w:r>
      <w:bookmarkEnd w:id="104"/>
      <w:bookmarkEnd w:id="105"/>
      <w:bookmarkEnd w:id="106"/>
    </w:p>
    <w:p>
      <w:pPr>
        <w:adjustRightInd w:val="0"/>
        <w:snapToGrid w:val="0"/>
        <w:spacing w:line="500" w:lineRule="exact"/>
        <w:jc w:val="center"/>
        <w:outlineLvl w:val="0"/>
        <w:rPr>
          <w:rFonts w:ascii="宋体" w:hAnsi="宋体" w:cs="宋体"/>
          <w:bCs/>
          <w:color w:val="auto"/>
          <w:sz w:val="36"/>
          <w:szCs w:val="36"/>
          <w:highlight w:val="none"/>
        </w:rPr>
      </w:pPr>
    </w:p>
    <w:p>
      <w:pPr>
        <w:spacing w:line="800" w:lineRule="exact"/>
        <w:ind w:firstLine="420"/>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第三部分  项目需求</w:t>
      </w:r>
    </w:p>
    <w:p>
      <w:pPr>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bookmarkEnd w:id="0"/>
    <w:bookmarkEnd w:id="1"/>
    <w:bookmarkEnd w:id="2"/>
    <w:p>
      <w:pPr>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投标供应商在制作投标文件时仔细研究项目需求说明。投标供应商不能简单照搬照抄招标人项目需求说明中的技术、商务要求，必须作实事求是的响应。如照搬照抄项目需求说明中的技术、商务要求的，中标后成交供应商在同招标人签订合同环节中不得提出异议，一切后果和损失由成交供应商承担。如投标供应商提供的货物和服务同招标人提出的项目需求说明中的技术、商务要求不同的，必须在《技术响应及偏离表》和《商务条款响应及偏离表》上明示，如不明示的视同完全响应。</w:t>
      </w:r>
    </w:p>
    <w:p>
      <w:pPr>
        <w:spacing w:line="460" w:lineRule="exact"/>
        <w:ind w:firstLine="562" w:firstLineChars="200"/>
        <w:jc w:val="left"/>
        <w:rPr>
          <w:rFonts w:ascii="宋体" w:hAnsi="宋体" w:cs="宋体"/>
          <w:b/>
          <w:bCs/>
          <w:color w:val="auto"/>
          <w:sz w:val="28"/>
          <w:szCs w:val="28"/>
          <w:highlight w:val="none"/>
        </w:rPr>
      </w:pPr>
      <w:r>
        <w:rPr>
          <w:rFonts w:ascii="宋体" w:hAnsi="宋体" w:cs="宋体"/>
          <w:b/>
          <w:bCs/>
          <w:color w:val="auto"/>
          <w:sz w:val="28"/>
          <w:szCs w:val="28"/>
          <w:highlight w:val="none"/>
        </w:rPr>
        <w:t>一、</w:t>
      </w:r>
      <w:r>
        <w:rPr>
          <w:rFonts w:hint="eastAsia" w:ascii="宋体" w:hAnsi="宋体" w:cs="宋体"/>
          <w:b/>
          <w:bCs/>
          <w:color w:val="auto"/>
          <w:sz w:val="28"/>
          <w:szCs w:val="28"/>
          <w:highlight w:val="none"/>
        </w:rPr>
        <w:t>供货服务内容：</w:t>
      </w:r>
    </w:p>
    <w:p>
      <w:pPr>
        <w:widowControl/>
        <w:spacing w:line="46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为满足江苏航运职业技术学院轨道交通产教融合实训基地扶梯安全使用，招标人拟采购扶梯1台并要求提供设备、安装、扶梯外装饰（侧面采用玻璃）、质保及维保等相关技术支持与服务具体详见项目需求。</w:t>
      </w:r>
    </w:p>
    <w:p>
      <w:pPr>
        <w:widowControl/>
        <w:spacing w:line="460" w:lineRule="exact"/>
        <w:ind w:firstLine="562" w:firstLineChars="200"/>
        <w:jc w:val="left"/>
        <w:rPr>
          <w:rFonts w:ascii="宋体" w:hAnsi="宋体" w:cs="宋体"/>
          <w:b/>
          <w:bCs/>
          <w:color w:val="auto"/>
          <w:sz w:val="28"/>
          <w:szCs w:val="28"/>
          <w:highlight w:val="none"/>
        </w:rPr>
      </w:pPr>
      <w:r>
        <w:rPr>
          <w:rFonts w:ascii="宋体" w:hAnsi="宋体" w:cs="宋体"/>
          <w:b/>
          <w:bCs/>
          <w:color w:val="auto"/>
          <w:sz w:val="28"/>
          <w:szCs w:val="28"/>
          <w:highlight w:val="none"/>
        </w:rPr>
        <w:t>二、</w:t>
      </w:r>
      <w:r>
        <w:rPr>
          <w:rFonts w:hint="eastAsia" w:ascii="宋体" w:hAnsi="宋体" w:cs="宋体"/>
          <w:b/>
          <w:bCs/>
          <w:color w:val="auto"/>
          <w:sz w:val="28"/>
          <w:szCs w:val="28"/>
          <w:highlight w:val="none"/>
        </w:rPr>
        <w:t xml:space="preserve">总体说明及技术参数 </w:t>
      </w:r>
    </w:p>
    <w:p>
      <w:pPr>
        <w:widowControl/>
        <w:spacing w:line="460" w:lineRule="exact"/>
        <w:ind w:firstLine="562" w:firstLineChars="20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1.室内扶梯技术要求</w:t>
      </w:r>
    </w:p>
    <w:tbl>
      <w:tblPr>
        <w:tblStyle w:val="37"/>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pStyle w:val="19"/>
              <w:spacing w:line="460" w:lineRule="exact"/>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名称</w:t>
            </w:r>
          </w:p>
        </w:tc>
        <w:tc>
          <w:tcPr>
            <w:tcW w:w="5222" w:type="dxa"/>
            <w:vAlign w:val="center"/>
          </w:tcPr>
          <w:p>
            <w:pPr>
              <w:pStyle w:val="19"/>
              <w:spacing w:line="460" w:lineRule="exact"/>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倾斜角度</w:t>
            </w:r>
          </w:p>
        </w:tc>
        <w:tc>
          <w:tcPr>
            <w:tcW w:w="5222"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速度(m/s)</w:t>
            </w:r>
          </w:p>
        </w:tc>
        <w:tc>
          <w:tcPr>
            <w:tcW w:w="5222" w:type="dxa"/>
            <w:vAlign w:val="center"/>
          </w:tcPr>
          <w:p>
            <w:pPr>
              <w:pStyle w:val="19"/>
              <w:spacing w:line="460" w:lineRule="exact"/>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0~0.65m/s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梯级宽度</w:t>
            </w:r>
          </w:p>
        </w:tc>
        <w:tc>
          <w:tcPr>
            <w:tcW w:w="5222"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800毫米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提升高度</w:t>
            </w:r>
          </w:p>
        </w:tc>
        <w:tc>
          <w:tcPr>
            <w:tcW w:w="5222"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6600毫米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水平梯级</w:t>
            </w:r>
          </w:p>
        </w:tc>
        <w:tc>
          <w:tcPr>
            <w:tcW w:w="5222"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3/3水平梯级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pStyle w:val="19"/>
              <w:spacing w:line="460" w:lineRule="exact"/>
              <w:jc w:val="left"/>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6.预留接口</w:t>
            </w:r>
          </w:p>
        </w:tc>
        <w:tc>
          <w:tcPr>
            <w:tcW w:w="5222" w:type="dxa"/>
            <w:vAlign w:val="center"/>
          </w:tcPr>
          <w:p>
            <w:pPr>
              <w:pStyle w:val="19"/>
              <w:spacing w:line="460" w:lineRule="exact"/>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预留综合监控通信接口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widowControl/>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楼层板/梳齿板</w:t>
            </w:r>
          </w:p>
        </w:tc>
        <w:tc>
          <w:tcPr>
            <w:tcW w:w="5222" w:type="dxa"/>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本色铝盖板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梳齿</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铝梳齿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裙板</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304不锈钢、整段带透明减摩擦涂层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梯级</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梯级链导轨</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2mm梯级链导轨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内外盖板</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13.</w:t>
            </w:r>
            <w:r>
              <w:rPr>
                <w:rFonts w:hint="eastAsia" w:ascii="宋体" w:hAnsi="宋体" w:cs="宋体"/>
                <w:color w:val="auto"/>
                <w:kern w:val="0"/>
                <w:sz w:val="28"/>
                <w:szCs w:val="28"/>
                <w:highlight w:val="none"/>
              </w:rPr>
              <w:t>裙板刷</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单排，铝底座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14.</w:t>
            </w:r>
            <w:r>
              <w:rPr>
                <w:rFonts w:hint="eastAsia" w:ascii="宋体" w:hAnsi="宋体" w:cs="宋体"/>
                <w:color w:val="auto"/>
                <w:sz w:val="28"/>
                <w:szCs w:val="28"/>
                <w:highlight w:val="none"/>
              </w:rPr>
              <w:t>扶手带</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rPr>
              <w:t>桁架</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16.</w:t>
            </w:r>
            <w:r>
              <w:rPr>
                <w:rFonts w:hint="eastAsia" w:ascii="宋体" w:hAnsi="宋体" w:cs="宋体"/>
                <w:color w:val="auto"/>
                <w:sz w:val="28"/>
                <w:szCs w:val="28"/>
                <w:highlight w:val="none"/>
              </w:rPr>
              <w:t>扶手护栏</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10mm透明钢化玻璃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17.</w:t>
            </w:r>
            <w:r>
              <w:rPr>
                <w:rFonts w:hint="eastAsia" w:ascii="宋体" w:hAnsi="宋体" w:cs="宋体"/>
                <w:color w:val="auto"/>
                <w:sz w:val="28"/>
                <w:szCs w:val="28"/>
                <w:highlight w:val="none"/>
              </w:rPr>
              <w:t>桁架侧面装饰板</w:t>
            </w:r>
          </w:p>
        </w:tc>
        <w:tc>
          <w:tcPr>
            <w:tcW w:w="5222" w:type="dxa"/>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透明玻璃（满足教学使用</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满足消防验收</w:t>
            </w:r>
            <w:r>
              <w:rPr>
                <w:rFonts w:hint="eastAsia" w:ascii="宋体" w:hAnsi="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18.</w:t>
            </w:r>
            <w:r>
              <w:rPr>
                <w:rFonts w:hint="eastAsia" w:ascii="宋体" w:hAnsi="宋体" w:cs="宋体"/>
                <w:color w:val="auto"/>
                <w:kern w:val="0"/>
                <w:sz w:val="28"/>
                <w:szCs w:val="28"/>
                <w:highlight w:val="none"/>
              </w:rPr>
              <w:t>运行模式</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智能变频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19.</w:t>
            </w:r>
            <w:r>
              <w:rPr>
                <w:rFonts w:ascii="宋体" w:hAnsi="宋体" w:cs="宋体"/>
                <w:color w:val="auto"/>
                <w:kern w:val="0"/>
                <w:sz w:val="28"/>
                <w:szCs w:val="28"/>
                <w:highlight w:val="none"/>
              </w:rPr>
              <w:t>电力供应</w:t>
            </w:r>
          </w:p>
        </w:tc>
        <w:tc>
          <w:tcPr>
            <w:tcW w:w="5222" w:type="dxa"/>
            <w:vAlign w:val="center"/>
          </w:tcPr>
          <w:p>
            <w:pPr>
              <w:spacing w:line="460" w:lineRule="exact"/>
              <w:jc w:val="left"/>
              <w:rPr>
                <w:rFonts w:ascii="宋体" w:hAnsi="宋体" w:cs="宋体"/>
                <w:color w:val="auto"/>
                <w:kern w:val="0"/>
                <w:sz w:val="28"/>
                <w:szCs w:val="28"/>
                <w:highlight w:val="none"/>
              </w:rPr>
            </w:pPr>
            <w:r>
              <w:rPr>
                <w:rFonts w:ascii="宋体" w:hAnsi="宋体" w:cs="宋体"/>
                <w:color w:val="auto"/>
                <w:kern w:val="0"/>
                <w:sz w:val="28"/>
                <w:szCs w:val="28"/>
                <w:highlight w:val="none"/>
              </w:rPr>
              <w:t>三相四线、TN-S接地，交流电压380 V±10%，50±1Hz</w:t>
            </w:r>
            <w:r>
              <w:rPr>
                <w:rFonts w:hint="eastAsia" w:ascii="宋体" w:hAnsi="宋体"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20.</w:t>
            </w:r>
            <w:r>
              <w:rPr>
                <w:rFonts w:hint="eastAsia" w:ascii="宋体" w:hAnsi="宋体" w:cs="宋体"/>
                <w:color w:val="auto"/>
                <w:kern w:val="0"/>
                <w:sz w:val="28"/>
                <w:szCs w:val="28"/>
                <w:highlight w:val="none"/>
              </w:rPr>
              <w:t>运行方向</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可逆</w:t>
            </w:r>
          </w:p>
        </w:tc>
      </w:tr>
    </w:tbl>
    <w:p>
      <w:pPr>
        <w:widowControl/>
        <w:spacing w:line="460" w:lineRule="exact"/>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rPr>
        <w:t>2.室内扶梯安全功能</w:t>
      </w:r>
      <w:r>
        <w:rPr>
          <w:rFonts w:hint="eastAsia" w:ascii="宋体" w:hAnsi="宋体" w:cs="宋体"/>
          <w:b/>
          <w:bCs/>
          <w:color w:val="auto"/>
          <w:kern w:val="0"/>
          <w:sz w:val="28"/>
          <w:szCs w:val="28"/>
          <w:highlight w:val="none"/>
          <w:lang w:eastAsia="zh-CN"/>
        </w:rPr>
        <w:t>要求</w:t>
      </w:r>
    </w:p>
    <w:tbl>
      <w:tblPr>
        <w:tblStyle w:val="37"/>
        <w:tblW w:w="8055"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1.扶手带入口保护装置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2.梳齿板保护开关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3.低速侧梯路速度监测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4.梯级链断链保护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5.高速侧马达速度监测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6.梯级塌陷保护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7.电机过载、过热保护装置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8.主电源隔离器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9.主制动器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10.停机开关，位于上端和下端底坑内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11.扶手带速度及断带监测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12.楼层盖板安全开关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13.梯级反转保护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14.梯路锁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15.梯级缺失检测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16.制动器抬起监测开关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17.驱动链断链保护装置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18.控制回路断路器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19.错断相保护装置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20.急停开关，位于自动扶梯两端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21.手持检修灯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22.围裙板刷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23.防静电装置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24.相序监测 - 错断相监测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25.扶手带速度/断带监控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055" w:type="dxa"/>
            <w:tcBorders>
              <w:tl2br w:val="nil"/>
              <w:tr2bl w:val="nil"/>
            </w:tcBorders>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26.抱闸抬起监测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27．防爬版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rPr>
                <w:rFonts w:ascii="宋体" w:hAnsi="宋体" w:cs="宋体"/>
                <w:color w:val="auto"/>
                <w:sz w:val="28"/>
                <w:szCs w:val="28"/>
                <w:highlight w:val="none"/>
              </w:rPr>
            </w:pPr>
            <w:r>
              <w:rPr>
                <w:rFonts w:hint="eastAsia" w:ascii="宋体" w:hAnsi="宋体" w:cs="宋体"/>
                <w:color w:val="auto"/>
                <w:sz w:val="28"/>
                <w:szCs w:val="28"/>
                <w:highlight w:val="none"/>
              </w:rPr>
              <w:t>28.</w:t>
            </w:r>
            <w:r>
              <w:rPr>
                <w:rFonts w:ascii="宋体" w:hAnsi="宋体" w:cs="宋体"/>
                <w:color w:val="auto"/>
                <w:sz w:val="28"/>
                <w:szCs w:val="28"/>
                <w:highlight w:val="none"/>
              </w:rPr>
              <w:t>扶手带阻燃等级</w:t>
            </w:r>
            <w:r>
              <w:rPr>
                <w:rFonts w:hint="eastAsia" w:ascii="宋体" w:hAnsi="宋体" w:cs="宋体"/>
                <w:color w:val="auto"/>
                <w:sz w:val="28"/>
                <w:szCs w:val="28"/>
                <w:highlight w:val="none"/>
              </w:rPr>
              <w:t>不低于</w:t>
            </w:r>
            <w:r>
              <w:rPr>
                <w:rFonts w:ascii="宋体" w:hAnsi="宋体" w:cs="宋体"/>
                <w:color w:val="auto"/>
                <w:sz w:val="28"/>
                <w:szCs w:val="28"/>
                <w:highlight w:val="none"/>
              </w:rPr>
              <w:t>FV-1（提供国家认可的检测机构出具的第三方测试报告，采用垂直燃烧法进行试验）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rPr>
                <w:rFonts w:ascii="宋体" w:hAnsi="宋体" w:cs="宋体"/>
                <w:color w:val="auto"/>
                <w:sz w:val="28"/>
                <w:szCs w:val="28"/>
                <w:highlight w:val="none"/>
              </w:rPr>
            </w:pPr>
            <w:r>
              <w:rPr>
                <w:rFonts w:hint="eastAsia" w:ascii="宋体" w:hAnsi="宋体" w:cs="宋体"/>
                <w:color w:val="auto"/>
                <w:sz w:val="28"/>
                <w:szCs w:val="28"/>
                <w:highlight w:val="none"/>
              </w:rPr>
              <w:t>29.</w:t>
            </w:r>
            <w:r>
              <w:rPr>
                <w:rFonts w:ascii="宋体" w:hAnsi="宋体" w:cs="宋体"/>
                <w:color w:val="auto"/>
                <w:sz w:val="28"/>
                <w:szCs w:val="28"/>
                <w:highlight w:val="none"/>
              </w:rPr>
              <w:t>梯级运行安全装置</w:t>
            </w:r>
            <w:r>
              <w:rPr>
                <w:rFonts w:hint="eastAsia" w:ascii="宋体" w:hAnsi="宋体" w:cs="宋体"/>
                <w:color w:val="auto"/>
                <w:sz w:val="28"/>
                <w:szCs w:val="28"/>
                <w:highlight w:val="none"/>
              </w:rPr>
              <w:t>：</w:t>
            </w:r>
            <w:r>
              <w:rPr>
                <w:rFonts w:ascii="宋体" w:hAnsi="宋体" w:cs="宋体"/>
                <w:color w:val="auto"/>
                <w:sz w:val="28"/>
                <w:szCs w:val="28"/>
                <w:highlight w:val="none"/>
              </w:rPr>
              <w:t>两个梯级之间卡入异物，梯级滚轮运行轨迹异常时，梯级运行安全装置使扶梯停止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rPr>
                <w:rFonts w:ascii="宋体" w:hAnsi="宋体" w:cs="宋体"/>
                <w:color w:val="auto"/>
                <w:sz w:val="28"/>
                <w:szCs w:val="28"/>
                <w:highlight w:val="none"/>
              </w:rPr>
            </w:pPr>
            <w:r>
              <w:rPr>
                <w:rFonts w:hint="eastAsia" w:ascii="宋体" w:hAnsi="宋体" w:cs="宋体"/>
                <w:color w:val="auto"/>
                <w:sz w:val="28"/>
                <w:szCs w:val="28"/>
                <w:highlight w:val="none"/>
              </w:rPr>
              <w:t>30.</w:t>
            </w:r>
            <w:r>
              <w:rPr>
                <w:rFonts w:ascii="宋体" w:hAnsi="宋体" w:cs="宋体"/>
                <w:color w:val="auto"/>
                <w:sz w:val="28"/>
                <w:szCs w:val="28"/>
                <w:highlight w:val="none"/>
              </w:rPr>
              <w:t>接地故障保护</w:t>
            </w:r>
            <w:r>
              <w:rPr>
                <w:rFonts w:hint="eastAsia" w:ascii="宋体" w:hAnsi="宋体" w:cs="宋体"/>
                <w:color w:val="auto"/>
                <w:sz w:val="28"/>
                <w:szCs w:val="28"/>
                <w:highlight w:val="none"/>
              </w:rPr>
              <w:t>：</w:t>
            </w:r>
            <w:r>
              <w:rPr>
                <w:rFonts w:ascii="宋体" w:hAnsi="宋体" w:cs="宋体"/>
                <w:color w:val="auto"/>
                <w:sz w:val="28"/>
                <w:szCs w:val="28"/>
                <w:highlight w:val="none"/>
              </w:rPr>
              <w:t>当扶梯接地出现故障时，使扶梯停止</w:t>
            </w:r>
          </w:p>
        </w:tc>
      </w:tr>
    </w:tbl>
    <w:p>
      <w:pPr>
        <w:widowControl/>
        <w:spacing w:line="460" w:lineRule="exact"/>
        <w:ind w:firstLine="562" w:firstLineChars="20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三、★检验考核要求</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1.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pPr>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四、</w:t>
      </w:r>
      <w:r>
        <w:rPr>
          <w:rFonts w:hint="eastAsia" w:ascii="宋体" w:hAnsi="宋体" w:cs="宋体"/>
          <w:color w:val="auto"/>
          <w:sz w:val="28"/>
          <w:szCs w:val="28"/>
          <w:highlight w:val="none"/>
          <w:lang w:val="zh-CN"/>
        </w:rPr>
        <w:t>★</w:t>
      </w:r>
      <w:r>
        <w:rPr>
          <w:rFonts w:hint="eastAsia" w:ascii="宋体" w:hAnsi="宋体" w:cs="宋体"/>
          <w:b/>
          <w:bCs/>
          <w:color w:val="auto"/>
          <w:sz w:val="28"/>
          <w:szCs w:val="28"/>
          <w:highlight w:val="none"/>
        </w:rPr>
        <w:t>技术服务和质保期服务要求</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1.技术服务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（1）技术文件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中标人提供的技术文件与其提供的设备（硬件和软件）相一致。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（2）设备配置及供货范围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中标人向招标人提供本系统所需的相关设备（硬件及软件）及技术支持、服务。以及中标人认为本项目必需的其它软、硬件设备。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（3）人员培训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要求中标人对招标人（使用方）技术人员不少于1次的的全面技术培训，培训内容应包括：中标人所提供设备系统的性能、技术原理、操作使用方法，维护管理。中标人对使用方人员的培训，应使使用方人员可以独立操作、维护、管理，从而使使用方人员能独立进行管理、故障处理、日常测试维护等工作，确保系统能正常安全运行。中标人应提出培训内容和计划。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（4）保修期服务 </w:t>
      </w:r>
    </w:p>
    <w:p>
      <w:pPr>
        <w:spacing w:line="4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中标人应确保其技术建议以及所提供的软、硬件设备的完整性、实用性，保证全部系统及时投入正常运行。如果设备在保修期内发生软、硬件故障，中标人应在收到买方通知后2小时内做出响应，如需中标人到合同设备现场，中标人应在收到买方通知后12小时内到达，并在到达后12小时内解决合同设备的故障（重大故障除外）。如果中标人未在上述时间内作出响应，则招标人（使用方）有权自行或委托他人解决相关问题或查找和解决合同设备的故障，中标人应承担由此发生的全部费用。保修期内出现故障，如不能解决问题，应免费在七天内用同样的品牌、规格或更高的部件更换到位，并确保正常运行。保修期内，中标人对其提供的设备进行维修或更换，不收取额外费用。质保期满后，如设备、材料出现质量问题时，仍应按上述时限及时处理，需更换零部件，招标人（使用方）向中标人购买时，中标人除及时提供合格的产品外，价格上给予优惠。</w:t>
      </w:r>
    </w:p>
    <w:p>
      <w:pPr>
        <w:spacing w:line="460" w:lineRule="exact"/>
        <w:ind w:firstLine="560" w:firstLineChars="200"/>
        <w:rPr>
          <w:rFonts w:hint="eastAsia" w:ascii="宋体" w:hAnsi="宋体" w:cs="宋体"/>
          <w:color w:val="auto"/>
          <w:sz w:val="28"/>
          <w:szCs w:val="28"/>
          <w:highlight w:val="none"/>
          <w:lang w:val="en-US" w:eastAsia="zh-CN"/>
        </w:rPr>
      </w:pPr>
    </w:p>
    <w:p>
      <w:pPr>
        <w:spacing w:line="46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项目质保期内需提供整机维保及免费更换配件服务。</w:t>
      </w:r>
    </w:p>
    <w:p>
      <w:pPr>
        <w:spacing w:line="460" w:lineRule="exact"/>
        <w:ind w:firstLine="560" w:firstLineChars="200"/>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定期检查：按照规定的间隔和时间，对电梯进行全面的机械、电气和安全装置的检查，以查出潜在故障并及时处理，确保电梯处于良好状态。</w:t>
      </w:r>
    </w:p>
    <w:p>
      <w:pPr>
        <w:spacing w:line="460" w:lineRule="exact"/>
        <w:ind w:firstLine="560" w:firstLineChars="200"/>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定期保养：根据制造商推荐的标准周期，进行润滑、清洁、调试等日常保养工作，如检查钢丝绳磨损情况、调整制动器等，以保障电梯的正常运转和使用寿命。</w:t>
      </w:r>
    </w:p>
    <w:p>
      <w:pPr>
        <w:spacing w:line="460" w:lineRule="exact"/>
        <w:ind w:firstLine="560" w:firstLineChars="200"/>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定期检测：按照国家标准的要求，定期对电梯进行安全和技术性能检测，并向政府相关部门提供检测报告，作为维保工作的记录和证明。</w:t>
      </w:r>
    </w:p>
    <w:p>
      <w:pPr>
        <w:spacing w:line="460" w:lineRule="exact"/>
        <w:ind w:firstLine="560" w:firstLineChars="200"/>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故障排除：当电梯出现故障时，维保人员应在第一时间内赶到现场，进行故障诊断和修复工作，以尽快恢复正常运行状态。</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（5）服务响应及维修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中标人应对所提供的软硬件系统提供满意的热线服务，及时解决所发生的问题。中标人接到保修请求，维修在 2 小时内响应，12 小时内维修人员到达现场。如发生紧急故障，在得到用户通知后，中标人应立即响应，6 小时内到达现场。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2、交货期、质保期及其他 </w:t>
      </w:r>
    </w:p>
    <w:p>
      <w:pPr>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（1）工期：合同签订之日起120天内完成设备的供货、安装与调试，验收合格并交付使用</w:t>
      </w:r>
      <w:r>
        <w:rPr>
          <w:rFonts w:hint="eastAsia" w:ascii="宋体" w:hAnsi="宋体" w:cs="宋体"/>
          <w:color w:val="auto"/>
          <w:sz w:val="28"/>
          <w:szCs w:val="28"/>
          <w:highlight w:val="none"/>
          <w:lang w:eastAsia="zh-CN"/>
        </w:rPr>
        <w:t>。</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（2）质保期：</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年；项目整体维保要求：验收合格后不少于</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 xml:space="preserve">年。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（3）实施地点：招标人指定地点。</w:t>
      </w:r>
    </w:p>
    <w:p>
      <w:pPr>
        <w:spacing w:line="460" w:lineRule="exact"/>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3、成交供应商如为代理商的，中标后签订合同前需提供电梯生产厂商盖章的品牌授权证明，不能提供的，采购人有权拒签合同。</w:t>
      </w:r>
    </w:p>
    <w:p>
      <w:pPr>
        <w:spacing w:line="46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4、成交供应商中标后签订合同前需提供电梯“受力设计核算证明”，若无法提供或电梯承重无法达到国家安全技术标准，采购人有权拒签合同。</w:t>
      </w:r>
    </w:p>
    <w:p>
      <w:pPr>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五、付款方式</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1、乙方中标后在合同签订前，应提供合同总价</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%的履约保证金，按甲方要求汇至指定账户（开户行：中国建设银行南通经济技术开发区支行，帐号： 32001642336052515609，统一社会信用代码：123200004660042577），履约保证金在项目最终验收合格满1年，无息退还乙方合同总价</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%的履约保证金，满</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年且无质量问题后一次性（无息）退还乙方合同总价</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%的履约保证金。</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2、在签订合同后，甲方支付乙方预付款为合同总价的</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0%；按要求将货物（设备）送到指定交货地点，货到施工现场，甲方支付合同总价的</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0%；货物（设备）安装调试结束后，完成当地质量技术监督部门验收合格，甲方组织对设备（系统）进行最终验收，项目最终验收合格后（以甲方签发终验收合格证书为准），甲方向乙方支付合同总价的</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0%。</w:t>
      </w:r>
    </w:p>
    <w:p>
      <w:pPr>
        <w:spacing w:line="460" w:lineRule="exact"/>
        <w:ind w:firstLine="560" w:firstLineChars="200"/>
        <w:rPr>
          <w:rFonts w:ascii="宋体" w:hAnsi="宋体" w:cs="仿宋"/>
          <w:color w:val="auto"/>
          <w:sz w:val="24"/>
          <w:highlight w:val="none"/>
        </w:rPr>
      </w:pPr>
      <w:r>
        <w:rPr>
          <w:rFonts w:hint="eastAsia" w:ascii="宋体" w:hAnsi="宋体" w:cs="宋体"/>
          <w:color w:val="auto"/>
          <w:sz w:val="28"/>
          <w:szCs w:val="28"/>
          <w:highlight w:val="none"/>
        </w:rPr>
        <w:t>3、每次付款前乙方须提供付合甲方财务要求的正式增值税专用发票，否则甲方有权拒绝支付合同款，而不承担违约责任。</w:t>
      </w:r>
      <w:r>
        <w:rPr>
          <w:rFonts w:hint="eastAsia" w:ascii="宋体" w:hAnsi="宋体" w:cs="仿宋"/>
          <w:color w:val="auto"/>
          <w:sz w:val="24"/>
          <w:highlight w:val="none"/>
        </w:rPr>
        <w:t xml:space="preserve"> </w:t>
      </w:r>
    </w:p>
    <w:p>
      <w:pPr>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六、项目涉及到的现场勘察</w:t>
      </w:r>
    </w:p>
    <w:p>
      <w:pPr>
        <w:spacing w:line="460" w:lineRule="exact"/>
        <w:ind w:firstLine="562" w:firstLineChars="200"/>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eastAsia="zh-CN"/>
        </w:rPr>
        <w:t>本项目吊装现场正门已经做了不锈钢包边，高度不满足吊装要求，需从南</w:t>
      </w:r>
      <w:r>
        <w:rPr>
          <w:rFonts w:hint="eastAsia" w:ascii="宋体" w:hAnsi="宋体" w:cs="宋体"/>
          <w:b/>
          <w:bCs/>
          <w:color w:val="auto"/>
          <w:sz w:val="28"/>
          <w:szCs w:val="28"/>
          <w:highlight w:val="none"/>
          <w:lang w:val="en-US" w:eastAsia="zh-CN"/>
        </w:rPr>
        <w:t>侧</w:t>
      </w:r>
      <w:r>
        <w:rPr>
          <w:rFonts w:hint="eastAsia" w:ascii="宋体" w:hAnsi="宋体" w:cs="宋体"/>
          <w:b/>
          <w:bCs/>
          <w:color w:val="auto"/>
          <w:sz w:val="28"/>
          <w:szCs w:val="28"/>
          <w:highlight w:val="none"/>
          <w:lang w:eastAsia="zh-CN"/>
        </w:rPr>
        <w:t>进入，</w:t>
      </w:r>
      <w:r>
        <w:rPr>
          <w:rFonts w:hint="eastAsia" w:ascii="宋体" w:hAnsi="宋体" w:cs="宋体"/>
          <w:b/>
          <w:bCs/>
          <w:color w:val="auto"/>
          <w:sz w:val="28"/>
          <w:szCs w:val="28"/>
          <w:highlight w:val="none"/>
          <w:lang w:val="en-US" w:eastAsia="zh-CN"/>
        </w:rPr>
        <w:t>南侧有一个约42米长、3米宽、1.5米深的坑，</w:t>
      </w:r>
      <w:r>
        <w:rPr>
          <w:rFonts w:hint="eastAsia" w:ascii="宋体" w:hAnsi="宋体" w:cs="宋体"/>
          <w:b/>
          <w:bCs/>
          <w:color w:val="auto"/>
          <w:sz w:val="28"/>
          <w:szCs w:val="28"/>
          <w:highlight w:val="none"/>
          <w:lang w:eastAsia="zh-CN"/>
        </w:rPr>
        <w:t>建议供应商</w:t>
      </w:r>
      <w:r>
        <w:rPr>
          <w:rFonts w:hint="eastAsia" w:ascii="宋体" w:hAnsi="宋体" w:cs="宋体"/>
          <w:b/>
          <w:bCs/>
          <w:color w:val="auto"/>
          <w:sz w:val="28"/>
          <w:szCs w:val="28"/>
          <w:highlight w:val="none"/>
          <w:lang w:val="en-US" w:eastAsia="zh-CN"/>
        </w:rPr>
        <w:t>自行勘察现场</w:t>
      </w:r>
      <w:r>
        <w:rPr>
          <w:rFonts w:hint="eastAsia" w:ascii="宋体" w:hAnsi="宋体" w:cs="宋体"/>
          <w:b/>
          <w:bCs/>
          <w:color w:val="auto"/>
          <w:sz w:val="28"/>
          <w:szCs w:val="28"/>
          <w:highlight w:val="none"/>
          <w:lang w:eastAsia="zh-CN"/>
        </w:rPr>
        <w:t>并结合现场实际情况编制吊装方案。</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招标文件所提供的项目相关数据仅做参考，根据自身需要，</w:t>
      </w:r>
      <w:r>
        <w:rPr>
          <w:rFonts w:hint="eastAsia" w:ascii="宋体" w:hAnsi="宋体" w:cs="宋体"/>
          <w:color w:val="auto"/>
          <w:sz w:val="28"/>
          <w:szCs w:val="28"/>
          <w:highlight w:val="none"/>
        </w:rPr>
        <w:t>供应商应招标文件递交之日前对有关现场和周围环境进行勘察，以获取编制响应文件和签署合同所需的信息。勘察现场所发生的费用由供应商自己承担。</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.招标人向供应商提供的有关现场的资料和数据，是招标人现有的并认为能使供应商可利用的资料。招标人对供应商由此而做出的推论、理解和结论概不负责。</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.经招标人允许，供应商可为勘察目的进入招标人的项目现场，但供应商不得因此使招标人承担有关的责任和蒙受损失。供应商应承担勘察现场的责任和风险。</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供应商应认真踏勘现场。在现场勘察时，熟悉施工及制作安装现场、现场周围交通道路等情况，以获得一切可能影响其投标的直接资料。供应商成交后，不得以不完全了解现场情况为理由而向招标人提出任何索赔的要求，对此招标人不承担任何责任并将不作任何答复与考虑。</w:t>
      </w:r>
    </w:p>
    <w:p>
      <w:pPr>
        <w:spacing w:line="460" w:lineRule="exact"/>
        <w:ind w:firstLine="560" w:firstLineChars="200"/>
        <w:rPr>
          <w:rFonts w:hint="eastAsia" w:ascii="宋体" w:hAnsi="宋体" w:cs="宋体"/>
          <w:b/>
          <w:bCs/>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.现场实地勘察可携带营业执照副本原件及复印件、法定代表人的委托书、被委托人身份证原件及复印件至江苏航运职业技术学院勘察（联系人：徐老师，联系电话：13962943196），自本公告发布之日起5个工作日</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上午9：00--11：00，下午1：30-4：</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0。</w:t>
      </w:r>
    </w:p>
    <w:p>
      <w:pPr>
        <w:spacing w:line="460" w:lineRule="exact"/>
        <w:ind w:firstLine="562" w:firstLineChars="200"/>
        <w:rPr>
          <w:rFonts w:hint="eastAsia" w:ascii="宋体" w:hAnsi="宋体" w:cs="宋体"/>
          <w:b/>
          <w:bCs/>
          <w:color w:val="auto"/>
          <w:sz w:val="28"/>
          <w:szCs w:val="28"/>
          <w:highlight w:val="none"/>
          <w:lang w:eastAsia="zh-CN"/>
        </w:rPr>
      </w:pPr>
    </w:p>
    <w:p>
      <w:pPr>
        <w:spacing w:line="460" w:lineRule="exact"/>
        <w:ind w:firstLine="562" w:firstLineChars="20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七：图纸</w:t>
      </w:r>
    </w:p>
    <w:p>
      <w:pPr>
        <w:spacing w:line="460" w:lineRule="exact"/>
        <w:ind w:firstLine="840" w:firstLineChars="300"/>
        <w:rPr>
          <w:rFonts w:ascii="宋体" w:hAnsi="宋体" w:cs="宋体"/>
          <w:b/>
          <w:bCs/>
          <w:color w:val="auto"/>
          <w:sz w:val="28"/>
          <w:szCs w:val="28"/>
          <w:highlight w:val="none"/>
        </w:rPr>
      </w:pPr>
      <w:r>
        <w:rPr>
          <w:rFonts w:hint="eastAsia" w:ascii="宋体" w:hAnsi="宋体" w:cs="宋体"/>
          <w:color w:val="auto"/>
          <w:sz w:val="28"/>
          <w:szCs w:val="28"/>
          <w:highlight w:val="none"/>
          <w:lang w:eastAsia="zh-CN"/>
        </w:rPr>
        <w:t>详见附件</w:t>
      </w: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rPr>
        <w:t>、合同样本</w:t>
      </w:r>
    </w:p>
    <w:p>
      <w:pPr>
        <w:pStyle w:val="3"/>
        <w:rPr>
          <w:rStyle w:val="40"/>
          <w:b/>
          <w:bCs/>
          <w:color w:val="auto"/>
          <w:sz w:val="32"/>
          <w:highlight w:val="none"/>
        </w:rPr>
      </w:pPr>
      <w:r>
        <w:rPr>
          <w:rStyle w:val="40"/>
          <w:rFonts w:hint="eastAsia"/>
          <w:b/>
          <w:bCs/>
          <w:color w:val="auto"/>
          <w:sz w:val="32"/>
          <w:highlight w:val="none"/>
        </w:rPr>
        <w:t>合同草案</w:t>
      </w:r>
    </w:p>
    <w:p>
      <w:pPr>
        <w:spacing w:line="480" w:lineRule="auto"/>
        <w:ind w:firstLine="600"/>
        <w:jc w:val="center"/>
        <w:rPr>
          <w:rFonts w:ascii="宋体" w:hAnsi="宋体"/>
          <w:b/>
          <w:bCs/>
          <w:color w:val="auto"/>
          <w:sz w:val="22"/>
          <w:highlight w:val="none"/>
        </w:rPr>
      </w:pPr>
      <w:bookmarkStart w:id="107" w:name="_Toc478366264"/>
      <w:bookmarkStart w:id="108" w:name="_GoBack"/>
      <w:bookmarkEnd w:id="108"/>
    </w:p>
    <w:p>
      <w:pPr>
        <w:spacing w:line="480" w:lineRule="auto"/>
        <w:ind w:firstLine="600"/>
        <w:jc w:val="center"/>
        <w:rPr>
          <w:rFonts w:ascii="宋体" w:hAnsi="宋体"/>
          <w:b/>
          <w:bCs/>
          <w:color w:val="auto"/>
          <w:sz w:val="44"/>
          <w:szCs w:val="48"/>
          <w:highlight w:val="none"/>
        </w:rPr>
      </w:pPr>
    </w:p>
    <w:bookmarkEnd w:id="107"/>
    <w:p>
      <w:pPr>
        <w:spacing w:line="480" w:lineRule="auto"/>
        <w:ind w:firstLine="1044"/>
        <w:jc w:val="center"/>
        <w:rPr>
          <w:rFonts w:ascii="宋体" w:hAnsi="宋体"/>
          <w:b/>
          <w:bCs/>
          <w:color w:val="auto"/>
          <w:sz w:val="48"/>
          <w:szCs w:val="52"/>
          <w:highlight w:val="none"/>
        </w:rPr>
      </w:pPr>
      <w:r>
        <w:rPr>
          <w:rFonts w:hint="eastAsia" w:ascii="宋体" w:hAnsi="宋体"/>
          <w:b/>
          <w:bCs/>
          <w:color w:val="auto"/>
          <w:sz w:val="48"/>
          <w:szCs w:val="52"/>
          <w:highlight w:val="none"/>
        </w:rPr>
        <w:t>采购合同</w:t>
      </w:r>
    </w:p>
    <w:p>
      <w:pPr>
        <w:spacing w:line="480" w:lineRule="auto"/>
        <w:ind w:firstLine="883"/>
        <w:jc w:val="center"/>
        <w:rPr>
          <w:rFonts w:ascii="宋体" w:hAnsi="宋体"/>
          <w:b/>
          <w:bCs/>
          <w:color w:val="auto"/>
          <w:sz w:val="40"/>
          <w:highlight w:val="none"/>
        </w:rPr>
      </w:pP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480" w:lineRule="auto"/>
        <w:jc w:val="center"/>
        <w:rPr>
          <w:rFonts w:ascii="宋体" w:hAnsi="宋体"/>
          <w:color w:val="auto"/>
          <w:sz w:val="28"/>
          <w:highlight w:val="none"/>
        </w:rPr>
      </w:pPr>
      <w:r>
        <w:rPr>
          <w:rFonts w:hint="eastAsia" w:ascii="宋体" w:hAnsi="宋体"/>
          <w:color w:val="auto"/>
          <w:sz w:val="28"/>
          <w:highlight w:val="none"/>
        </w:rPr>
        <w:t xml:space="preserve">  </w:t>
      </w: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360" w:lineRule="auto"/>
        <w:jc w:val="left"/>
        <w:rPr>
          <w:b/>
          <w:color w:val="auto"/>
          <w:sz w:val="28"/>
          <w:szCs w:val="28"/>
          <w:highlight w:val="none"/>
          <w:u w:val="single"/>
        </w:rPr>
      </w:pPr>
      <w:r>
        <w:rPr>
          <w:b/>
          <w:color w:val="auto"/>
          <w:sz w:val="28"/>
          <w:szCs w:val="28"/>
          <w:highlight w:val="none"/>
        </w:rPr>
        <w:t>项目编号：</w:t>
      </w:r>
    </w:p>
    <w:p>
      <w:pPr>
        <w:spacing w:line="360" w:lineRule="auto"/>
        <w:jc w:val="left"/>
        <w:rPr>
          <w:b/>
          <w:color w:val="auto"/>
          <w:sz w:val="28"/>
          <w:szCs w:val="28"/>
          <w:highlight w:val="none"/>
          <w:u w:val="single"/>
        </w:rPr>
      </w:pPr>
      <w:r>
        <w:rPr>
          <w:b/>
          <w:color w:val="auto"/>
          <w:sz w:val="28"/>
          <w:szCs w:val="28"/>
          <w:highlight w:val="none"/>
        </w:rPr>
        <w:t>项目名称：</w:t>
      </w:r>
      <w:r>
        <w:rPr>
          <w:rFonts w:hint="eastAsia"/>
          <w:b/>
          <w:color w:val="auto"/>
          <w:sz w:val="28"/>
          <w:szCs w:val="28"/>
          <w:highlight w:val="none"/>
          <w:u w:val="single"/>
        </w:rPr>
        <w:t xml:space="preserve">                    </w:t>
      </w:r>
    </w:p>
    <w:p>
      <w:pPr>
        <w:spacing w:line="360" w:lineRule="auto"/>
        <w:jc w:val="left"/>
        <w:rPr>
          <w:b/>
          <w:color w:val="auto"/>
          <w:sz w:val="28"/>
          <w:szCs w:val="28"/>
          <w:highlight w:val="none"/>
          <w:u w:val="single"/>
        </w:rPr>
      </w:pPr>
      <w:r>
        <w:rPr>
          <w:b/>
          <w:color w:val="auto"/>
          <w:sz w:val="28"/>
          <w:szCs w:val="28"/>
          <w:highlight w:val="none"/>
        </w:rPr>
        <w:t>招标人：</w:t>
      </w:r>
      <w:r>
        <w:rPr>
          <w:rFonts w:hint="eastAsia"/>
          <w:b/>
          <w:color w:val="auto"/>
          <w:sz w:val="28"/>
          <w:szCs w:val="28"/>
          <w:highlight w:val="none"/>
          <w:u w:val="single"/>
        </w:rPr>
        <w:t xml:space="preserve">                        </w:t>
      </w:r>
    </w:p>
    <w:p>
      <w:pPr>
        <w:spacing w:line="360" w:lineRule="auto"/>
        <w:jc w:val="left"/>
        <w:rPr>
          <w:b/>
          <w:color w:val="auto"/>
          <w:sz w:val="28"/>
          <w:szCs w:val="28"/>
          <w:highlight w:val="none"/>
        </w:rPr>
      </w:pPr>
      <w:r>
        <w:rPr>
          <w:rFonts w:hint="eastAsia"/>
          <w:b/>
          <w:color w:val="auto"/>
          <w:sz w:val="28"/>
          <w:szCs w:val="28"/>
          <w:highlight w:val="none"/>
        </w:rPr>
        <w:t>供应商</w:t>
      </w:r>
      <w:r>
        <w:rPr>
          <w:b/>
          <w:color w:val="auto"/>
          <w:sz w:val="28"/>
          <w:szCs w:val="28"/>
          <w:highlight w:val="none"/>
        </w:rPr>
        <w:t>：</w:t>
      </w:r>
    </w:p>
    <w:p>
      <w:pPr>
        <w:spacing w:line="360" w:lineRule="auto"/>
        <w:jc w:val="left"/>
        <w:rPr>
          <w:color w:val="auto"/>
          <w:highlight w:val="none"/>
        </w:rPr>
      </w:pPr>
      <w:r>
        <w:rPr>
          <w:b/>
          <w:color w:val="auto"/>
          <w:sz w:val="28"/>
          <w:szCs w:val="28"/>
          <w:highlight w:val="none"/>
        </w:rPr>
        <w:t>签订日期：</w:t>
      </w:r>
      <w:r>
        <w:rPr>
          <w:rFonts w:hint="eastAsia"/>
          <w:b/>
          <w:color w:val="auto"/>
          <w:sz w:val="28"/>
          <w:szCs w:val="28"/>
          <w:highlight w:val="none"/>
        </w:rPr>
        <w:t xml:space="preserve">   年   月    日</w:t>
      </w: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tbl>
      <w:tblPr>
        <w:tblStyle w:val="37"/>
        <w:tblW w:w="0" w:type="auto"/>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tcPr>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招标人（以下称甲方）</w:t>
            </w:r>
          </w:p>
        </w:tc>
        <w:tc>
          <w:tcPr>
            <w:tcW w:w="4643" w:type="dxa"/>
            <w:tcBorders>
              <w:top w:val="nil"/>
              <w:left w:val="nil"/>
              <w:bottom w:val="nil"/>
              <w:right w:val="nil"/>
            </w:tcBorders>
          </w:tcPr>
          <w:p>
            <w:pPr>
              <w:spacing w:line="360" w:lineRule="auto"/>
              <w:ind w:firstLine="420" w:firstLineChars="200"/>
              <w:rPr>
                <w:rFonts w:ascii="宋体" w:hAnsi="宋体" w:cs="宋体"/>
                <w:color w:val="auto"/>
                <w:kern w:val="0"/>
                <w:szCs w:val="21"/>
                <w:highlight w:val="none"/>
                <w:lang w:val="zh-CN"/>
              </w:rPr>
            </w:pP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供应商：（以下称乙方）</w:t>
            </w:r>
          </w:p>
        </w:tc>
      </w:tr>
      <w:tr>
        <w:tblPrEx>
          <w:tblCellMar>
            <w:top w:w="0" w:type="dxa"/>
            <w:left w:w="0" w:type="dxa"/>
            <w:bottom w:w="0" w:type="dxa"/>
            <w:right w:w="0" w:type="dxa"/>
          </w:tblCellMar>
        </w:tblPrEx>
        <w:tc>
          <w:tcPr>
            <w:tcW w:w="4643" w:type="dxa"/>
            <w:tcBorders>
              <w:top w:val="nil"/>
              <w:left w:val="nil"/>
              <w:bottom w:val="nil"/>
              <w:right w:val="nil"/>
            </w:tcBorders>
          </w:tcPr>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住所地：</w:t>
            </w:r>
          </w:p>
        </w:tc>
        <w:tc>
          <w:tcPr>
            <w:tcW w:w="4643" w:type="dxa"/>
            <w:tcBorders>
              <w:top w:val="nil"/>
              <w:left w:val="nil"/>
              <w:bottom w:val="nil"/>
              <w:right w:val="nil"/>
            </w:tcBorders>
          </w:tcPr>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住所地：</w:t>
            </w:r>
          </w:p>
        </w:tc>
      </w:tr>
    </w:tbl>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根据</w:t>
      </w:r>
      <w:r>
        <w:rPr>
          <w:rFonts w:hint="eastAsia"/>
          <w:color w:val="auto"/>
          <w:highlight w:val="none"/>
        </w:rPr>
        <w:t>《中华人民共和国招标投标法》</w:t>
      </w:r>
      <w:r>
        <w:rPr>
          <w:rFonts w:hint="eastAsia" w:ascii="宋体" w:hAnsi="宋体" w:cs="宋体"/>
          <w:color w:val="auto"/>
          <w:kern w:val="0"/>
          <w:szCs w:val="21"/>
          <w:highlight w:val="none"/>
          <w:lang w:val="zh-CN"/>
        </w:rPr>
        <w:t>、《中华人民共和国民法典》等法律法规的规定，甲乙双方按照招标代理机构的招标结果签订本合同。</w:t>
      </w:r>
    </w:p>
    <w:p>
      <w:pPr>
        <w:numPr>
          <w:ilvl w:val="0"/>
          <w:numId w:val="2"/>
        </w:numPr>
        <w:spacing w:line="360" w:lineRule="auto"/>
        <w:jc w:val="left"/>
        <w:rPr>
          <w:rFonts w:ascii="宋体"/>
          <w:color w:val="auto"/>
          <w:szCs w:val="21"/>
          <w:highlight w:val="none"/>
        </w:rPr>
      </w:pPr>
      <w:r>
        <w:rPr>
          <w:rFonts w:hint="eastAsia" w:ascii="宋体" w:hAnsi="宋体" w:cs="宋体"/>
          <w:b/>
          <w:bCs/>
          <w:color w:val="auto"/>
          <w:szCs w:val="21"/>
          <w:highlight w:val="none"/>
          <w:lang w:val="zh-CN"/>
        </w:rPr>
        <w:t>合同标的</w:t>
      </w:r>
      <w:r>
        <w:rPr>
          <w:rFonts w:hint="eastAsia" w:ascii="宋体" w:hAnsi="宋体" w:cs="仿宋"/>
          <w:color w:val="auto"/>
          <w:szCs w:val="21"/>
          <w:highlight w:val="none"/>
          <w:lang w:val="zh-CN"/>
        </w:rPr>
        <w:t xml:space="preserve">  </w:t>
      </w:r>
      <w:r>
        <w:rPr>
          <w:rFonts w:hint="eastAsia"/>
          <w:color w:val="auto"/>
          <w:highlight w:val="none"/>
          <w:lang w:val="zh-CN"/>
        </w:rPr>
        <w:t>乙方根据甲方需求提供下列服务</w:t>
      </w:r>
      <w:r>
        <w:rPr>
          <w:rFonts w:hint="eastAsia" w:ascii="宋体"/>
          <w:color w:val="auto"/>
          <w:szCs w:val="21"/>
          <w:highlight w:val="none"/>
          <w:lang w:val="zh-CN"/>
        </w:rPr>
        <w:t>：</w:t>
      </w:r>
    </w:p>
    <w:p>
      <w:pPr>
        <w:spacing w:line="360" w:lineRule="auto"/>
        <w:ind w:firstLine="420" w:firstLineChars="200"/>
        <w:jc w:val="left"/>
        <w:rPr>
          <w:rFonts w:ascii="宋体"/>
          <w:b/>
          <w:color w:val="auto"/>
          <w:szCs w:val="21"/>
          <w:highlight w:val="none"/>
          <w:u w:val="single"/>
        </w:rPr>
      </w:pPr>
      <w:r>
        <w:rPr>
          <w:rFonts w:hint="eastAsia" w:ascii="宋体"/>
          <w:color w:val="auto"/>
          <w:szCs w:val="21"/>
          <w:highlight w:val="none"/>
          <w:lang w:val="zh-CN"/>
        </w:rPr>
        <w:t>详见乙方</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color w:val="auto"/>
          <w:szCs w:val="21"/>
          <w:highlight w:val="none"/>
        </w:rPr>
        <w:t>（项目名称）</w:t>
      </w:r>
      <w:r>
        <w:rPr>
          <w:rFonts w:hint="eastAsia" w:ascii="宋体"/>
          <w:color w:val="auto"/>
          <w:szCs w:val="21"/>
          <w:highlight w:val="none"/>
          <w:lang w:val="zh-CN"/>
        </w:rPr>
        <w:t>投标文件</w:t>
      </w:r>
      <w:r>
        <w:rPr>
          <w:rFonts w:hint="eastAsia" w:ascii="宋体"/>
          <w:b/>
          <w:color w:val="auto"/>
          <w:szCs w:val="21"/>
          <w:highlight w:val="none"/>
          <w:lang w:val="zh-CN"/>
        </w:rPr>
        <w:t>。</w:t>
      </w:r>
    </w:p>
    <w:p>
      <w:pPr>
        <w:autoSpaceDE w:val="0"/>
        <w:autoSpaceDN w:val="0"/>
        <w:adjustRightInd w:val="0"/>
        <w:spacing w:line="360" w:lineRule="auto"/>
        <w:ind w:firstLine="420"/>
        <w:rPr>
          <w:rFonts w:ascii="宋体"/>
          <w:color w:val="auto"/>
          <w:szCs w:val="21"/>
          <w:highlight w:val="none"/>
          <w:lang w:val="zh-CN"/>
        </w:rPr>
      </w:pPr>
      <w:r>
        <w:rPr>
          <w:rFonts w:hint="eastAsia" w:ascii="宋体"/>
          <w:b/>
          <w:bCs/>
          <w:color w:val="auto"/>
          <w:szCs w:val="21"/>
          <w:highlight w:val="none"/>
          <w:lang w:val="zh-CN"/>
        </w:rPr>
        <w:t xml:space="preserve">第二条合同总价款 </w:t>
      </w:r>
      <w:r>
        <w:rPr>
          <w:rFonts w:hint="eastAsia" w:ascii="宋体"/>
          <w:color w:val="auto"/>
          <w:szCs w:val="21"/>
          <w:highlight w:val="none"/>
          <w:lang w:val="zh-CN"/>
        </w:rPr>
        <w:t>人民币总价款为</w:t>
      </w:r>
      <w:r>
        <w:rPr>
          <w:rFonts w:hAnsi="宋体" w:cs="宋体"/>
          <w:color w:val="auto"/>
          <w:highlight w:val="none"/>
          <w:u w:val="single"/>
        </w:rPr>
        <w:t xml:space="preserve">                                </w:t>
      </w:r>
      <w:r>
        <w:rPr>
          <w:rFonts w:hint="eastAsia" w:ascii="宋体"/>
          <w:color w:val="auto"/>
          <w:szCs w:val="21"/>
          <w:highlight w:val="none"/>
          <w:lang w:val="zh-CN"/>
        </w:rPr>
        <w:t>（大写）人民币。</w:t>
      </w:r>
      <w:r>
        <w:rPr>
          <w:rFonts w:hint="eastAsia"/>
          <w:color w:val="auto"/>
          <w:szCs w:val="21"/>
          <w:highlight w:val="none"/>
        </w:rPr>
        <w:t>交货期：</w:t>
      </w:r>
      <w:r>
        <w:rPr>
          <w:rFonts w:ascii="宋体" w:hAnsi="宋体" w:cs="宋体"/>
          <w:color w:val="auto"/>
          <w:highlight w:val="none"/>
        </w:rPr>
        <w:t>合同签订之日起</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hAnsi="宋体" w:cs="宋体"/>
          <w:color w:val="auto"/>
          <w:highlight w:val="none"/>
          <w:u w:val="single"/>
        </w:rPr>
        <w:t xml:space="preserve"> </w:t>
      </w:r>
      <w:r>
        <w:rPr>
          <w:rFonts w:ascii="宋体" w:hAnsi="宋体" w:cs="宋体"/>
          <w:color w:val="auto"/>
          <w:highlight w:val="none"/>
        </w:rPr>
        <w:t>天内完成设备的供货、安装与调试，验收合格并交付使用</w:t>
      </w:r>
      <w:r>
        <w:rPr>
          <w:rFonts w:hint="eastAsia" w:ascii="宋体" w:hAnsi="宋体" w:cs="宋体"/>
          <w:color w:val="auto"/>
          <w:highlight w:val="none"/>
        </w:rPr>
        <w:t>。</w:t>
      </w:r>
    </w:p>
    <w:p>
      <w:pPr>
        <w:spacing w:line="360" w:lineRule="auto"/>
        <w:ind w:firstLine="420" w:firstLineChars="200"/>
        <w:rPr>
          <w:color w:val="auto"/>
          <w:highlight w:val="none"/>
        </w:rPr>
      </w:pPr>
      <w:r>
        <w:rPr>
          <w:rFonts w:hint="eastAsia"/>
          <w:color w:val="auto"/>
          <w:highlight w:val="none"/>
        </w:rPr>
        <w:t>本合同总价款包括但不限于乙方服务费、工本费、工资、保险费、差旅费、国家强制缴纳的各种社会保障资金、各项税费、乙方认为需要的其他费用等本合同履行产生的所有费用。</w:t>
      </w:r>
    </w:p>
    <w:p>
      <w:pPr>
        <w:autoSpaceDE w:val="0"/>
        <w:autoSpaceDN w:val="0"/>
        <w:adjustRightInd w:val="0"/>
        <w:spacing w:line="360" w:lineRule="auto"/>
        <w:ind w:firstLine="420"/>
        <w:rPr>
          <w:rFonts w:ascii="宋体"/>
          <w:color w:val="auto"/>
          <w:szCs w:val="21"/>
          <w:highlight w:val="none"/>
          <w:lang w:val="zh-CN"/>
        </w:rPr>
      </w:pPr>
      <w:r>
        <w:rPr>
          <w:rFonts w:hint="eastAsia" w:ascii="宋体"/>
          <w:b/>
          <w:bCs/>
          <w:color w:val="auto"/>
          <w:szCs w:val="21"/>
          <w:highlight w:val="none"/>
          <w:lang w:val="zh-CN"/>
        </w:rPr>
        <w:t>第三条组成本合同的有关文件</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color w:val="auto"/>
          <w:szCs w:val="21"/>
          <w:highlight w:val="none"/>
          <w:lang w:val="zh-CN"/>
        </w:rPr>
        <w:t>组成合同的各项文件应互相解释，互为说明。除专用合同条款另有约定外，解释合同文件的优先顺序如下：</w:t>
      </w:r>
      <w:r>
        <w:rPr>
          <w:rFonts w:hint="eastAsia" w:ascii="宋体"/>
          <w:b/>
          <w:bCs/>
          <w:color w:val="auto"/>
          <w:szCs w:val="21"/>
          <w:highlight w:val="none"/>
          <w:lang w:val="zh-CN"/>
        </w:rPr>
        <w:t xml:space="preserve">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 xml:space="preserve">（1）合同协议书；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 xml:space="preserve">（2）中标通知书；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 xml:space="preserve">（3）投标函；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 xml:space="preserve">（4）商务和技术偏差表；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5</w:t>
      </w:r>
      <w:r>
        <w:rPr>
          <w:rFonts w:hint="eastAsia" w:ascii="宋体"/>
          <w:color w:val="auto"/>
          <w:szCs w:val="21"/>
          <w:highlight w:val="none"/>
          <w:lang w:val="zh-CN"/>
        </w:rPr>
        <w:t xml:space="preserve">）供货要求；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6</w:t>
      </w:r>
      <w:r>
        <w:rPr>
          <w:rFonts w:hint="eastAsia" w:ascii="宋体"/>
          <w:color w:val="auto"/>
          <w:szCs w:val="21"/>
          <w:highlight w:val="none"/>
          <w:lang w:val="zh-CN"/>
        </w:rPr>
        <w:t xml:space="preserve">）报价表；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7</w:t>
      </w:r>
      <w:r>
        <w:rPr>
          <w:rFonts w:hint="eastAsia" w:ascii="宋体"/>
          <w:color w:val="auto"/>
          <w:szCs w:val="21"/>
          <w:highlight w:val="none"/>
          <w:lang w:val="zh-CN"/>
        </w:rPr>
        <w:t xml:space="preserve">）中标材料质量标准的详细描述；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8</w:t>
      </w:r>
      <w:r>
        <w:rPr>
          <w:rFonts w:hint="eastAsia" w:ascii="宋体"/>
          <w:color w:val="auto"/>
          <w:szCs w:val="21"/>
          <w:highlight w:val="none"/>
          <w:lang w:val="zh-CN"/>
        </w:rPr>
        <w:t xml:space="preserve">）相关服务计划；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9</w:t>
      </w:r>
      <w:r>
        <w:rPr>
          <w:rFonts w:hint="eastAsia" w:ascii="宋体"/>
          <w:color w:val="auto"/>
          <w:szCs w:val="21"/>
          <w:highlight w:val="none"/>
          <w:lang w:val="zh-CN"/>
        </w:rPr>
        <w:t xml:space="preserve">）其他合同文件。 </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b/>
          <w:bCs/>
          <w:color w:val="auto"/>
          <w:szCs w:val="21"/>
          <w:highlight w:val="none"/>
          <w:lang w:val="zh-CN"/>
        </w:rPr>
        <w:t>第四条权利保证</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乙方应保证甲方在使用该服务或其任何一部分时不受第三方提出侵犯其专利权、版权、商标权或其他权利的起诉。一旦出现侵权，乙方应承担全部责任，如造成甲方损失的，乙方还应当赔偿甲方全部损失。乙方提交成果的知识产权归属权为甲方享有。</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b/>
          <w:bCs/>
          <w:color w:val="auto"/>
          <w:szCs w:val="21"/>
          <w:highlight w:val="none"/>
          <w:lang w:val="zh-CN"/>
        </w:rPr>
        <w:t>第五条伴随服务／售后服务</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★1、供货期：</w:t>
      </w:r>
      <w:r>
        <w:rPr>
          <w:rFonts w:hint="eastAsia" w:ascii="宋体"/>
          <w:color w:val="auto"/>
          <w:szCs w:val="21"/>
          <w:highlight w:val="none"/>
        </w:rPr>
        <w:t>乙方</w:t>
      </w:r>
      <w:r>
        <w:rPr>
          <w:rFonts w:hint="eastAsia" w:ascii="宋体"/>
          <w:color w:val="auto"/>
          <w:szCs w:val="21"/>
          <w:highlight w:val="none"/>
          <w:lang w:val="zh-CN"/>
        </w:rPr>
        <w:t>应在合同生效后</w:t>
      </w:r>
      <w:r>
        <w:rPr>
          <w:rFonts w:ascii="宋体"/>
          <w:color w:val="auto"/>
          <w:szCs w:val="21"/>
          <w:highlight w:val="none"/>
        </w:rPr>
        <w:t>120</w:t>
      </w:r>
      <w:r>
        <w:rPr>
          <w:rFonts w:hint="eastAsia" w:ascii="宋体"/>
          <w:color w:val="auto"/>
          <w:szCs w:val="21"/>
          <w:highlight w:val="none"/>
          <w:lang w:val="zh-CN"/>
        </w:rPr>
        <w:t>日历天内完成供货及安装</w:t>
      </w:r>
      <w:r>
        <w:rPr>
          <w:rFonts w:ascii="宋体" w:hAnsi="宋体" w:cs="宋体"/>
          <w:color w:val="auto"/>
          <w:highlight w:val="none"/>
        </w:rPr>
        <w:t>与调试，验收合格并交付使用</w:t>
      </w:r>
      <w:r>
        <w:rPr>
          <w:rFonts w:hint="eastAsia" w:ascii="宋体"/>
          <w:color w:val="auto"/>
          <w:szCs w:val="21"/>
          <w:highlight w:val="none"/>
          <w:lang w:val="zh-CN"/>
        </w:rPr>
        <w:t>。</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★2、交货安装地点：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★3、质保期：按合同及国家相关规定进行验收，全部设备质保期为最终验收合格</w:t>
      </w:r>
      <w:r>
        <w:rPr>
          <w:rFonts w:hint="eastAsia" w:ascii="宋体"/>
          <w:color w:val="auto"/>
          <w:szCs w:val="21"/>
          <w:highlight w:val="none"/>
        </w:rPr>
        <w:t>并交付使用</w:t>
      </w:r>
      <w:r>
        <w:rPr>
          <w:rFonts w:hint="eastAsia" w:ascii="宋体"/>
          <w:color w:val="auto"/>
          <w:szCs w:val="21"/>
          <w:highlight w:val="none"/>
          <w:lang w:val="zh-CN"/>
        </w:rPr>
        <w:t>之日起：</w:t>
      </w:r>
      <w:r>
        <w:rPr>
          <w:rFonts w:hint="eastAsia" w:ascii="宋体"/>
          <w:color w:val="auto"/>
          <w:szCs w:val="21"/>
          <w:highlight w:val="none"/>
          <w:lang w:eastAsia="zh-CN"/>
        </w:rPr>
        <w:t>三</w:t>
      </w:r>
      <w:r>
        <w:rPr>
          <w:rFonts w:hint="eastAsia" w:ascii="宋体"/>
          <w:color w:val="auto"/>
          <w:szCs w:val="21"/>
          <w:highlight w:val="none"/>
          <w:lang w:val="zh-CN"/>
        </w:rPr>
        <w:t>年。</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4、运输、装卸及安装：</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乙方</w:t>
      </w:r>
      <w:r>
        <w:rPr>
          <w:rFonts w:hint="eastAsia" w:ascii="宋体"/>
          <w:color w:val="auto"/>
          <w:szCs w:val="21"/>
          <w:highlight w:val="none"/>
          <w:lang w:val="zh-CN"/>
        </w:rPr>
        <w:t>应免费负责所有设备的运输、装卸及安装。</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5、服务团队要求：</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质保期内应配备专有服务团队，提供7×24小时电话响应服务。所有设备若出现问题，</w:t>
      </w:r>
      <w:r>
        <w:rPr>
          <w:rFonts w:hint="eastAsia" w:ascii="宋体"/>
          <w:color w:val="auto"/>
          <w:szCs w:val="21"/>
          <w:highlight w:val="none"/>
        </w:rPr>
        <w:t>乙方</w:t>
      </w:r>
      <w:r>
        <w:rPr>
          <w:rFonts w:hint="eastAsia" w:ascii="宋体"/>
          <w:color w:val="auto"/>
          <w:szCs w:val="21"/>
          <w:highlight w:val="none"/>
          <w:lang w:val="zh-CN"/>
        </w:rPr>
        <w:t>在接到</w:t>
      </w:r>
      <w:r>
        <w:rPr>
          <w:rFonts w:hint="eastAsia" w:ascii="宋体"/>
          <w:color w:val="auto"/>
          <w:szCs w:val="21"/>
          <w:highlight w:val="none"/>
        </w:rPr>
        <w:t>甲方</w:t>
      </w:r>
      <w:r>
        <w:rPr>
          <w:rFonts w:hint="eastAsia" w:ascii="宋体"/>
          <w:color w:val="auto"/>
          <w:szCs w:val="21"/>
          <w:highlight w:val="none"/>
          <w:lang w:val="zh-CN"/>
        </w:rPr>
        <w:t>通知后</w:t>
      </w:r>
      <w:r>
        <w:rPr>
          <w:rFonts w:hint="eastAsia" w:ascii="宋体"/>
          <w:color w:val="auto"/>
          <w:szCs w:val="21"/>
          <w:highlight w:val="none"/>
        </w:rPr>
        <w:t>12</w:t>
      </w:r>
      <w:r>
        <w:rPr>
          <w:rFonts w:hint="eastAsia" w:ascii="宋体"/>
          <w:color w:val="auto"/>
          <w:szCs w:val="21"/>
          <w:highlight w:val="none"/>
          <w:lang w:val="zh-CN"/>
        </w:rPr>
        <w:t>小时内到达现场，提供免费服务。</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6、质量保证和售后服务方案：</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所有设备若出现问题，</w:t>
      </w:r>
      <w:r>
        <w:rPr>
          <w:rFonts w:hint="eastAsia" w:ascii="宋体"/>
          <w:color w:val="auto"/>
          <w:szCs w:val="21"/>
          <w:highlight w:val="none"/>
        </w:rPr>
        <w:t>乙方</w:t>
      </w:r>
      <w:r>
        <w:rPr>
          <w:rFonts w:hint="eastAsia" w:ascii="宋体"/>
          <w:color w:val="auto"/>
          <w:szCs w:val="21"/>
          <w:highlight w:val="none"/>
          <w:lang w:val="zh-CN"/>
        </w:rPr>
        <w:t>在接到</w:t>
      </w:r>
      <w:r>
        <w:rPr>
          <w:rFonts w:hint="eastAsia" w:ascii="宋体"/>
          <w:color w:val="auto"/>
          <w:szCs w:val="21"/>
          <w:highlight w:val="none"/>
        </w:rPr>
        <w:t>甲方</w:t>
      </w:r>
      <w:r>
        <w:rPr>
          <w:rFonts w:hint="eastAsia" w:ascii="宋体"/>
          <w:color w:val="auto"/>
          <w:szCs w:val="21"/>
          <w:highlight w:val="none"/>
          <w:lang w:val="zh-CN"/>
        </w:rPr>
        <w:t>通知后，</w:t>
      </w:r>
      <w:r>
        <w:rPr>
          <w:rFonts w:hint="eastAsia" w:ascii="宋体"/>
          <w:color w:val="auto"/>
          <w:szCs w:val="21"/>
          <w:highlight w:val="none"/>
        </w:rPr>
        <w:t>12</w:t>
      </w:r>
      <w:r>
        <w:rPr>
          <w:rFonts w:hint="eastAsia" w:ascii="宋体"/>
          <w:color w:val="auto"/>
          <w:szCs w:val="21"/>
          <w:highlight w:val="none"/>
          <w:lang w:val="zh-CN"/>
        </w:rPr>
        <w:t>小时内到达现场，</w:t>
      </w:r>
      <w:r>
        <w:rPr>
          <w:rFonts w:hint="eastAsia" w:ascii="宋体"/>
          <w:color w:val="auto"/>
          <w:szCs w:val="21"/>
          <w:highlight w:val="none"/>
        </w:rPr>
        <w:t>12</w:t>
      </w:r>
      <w:r>
        <w:rPr>
          <w:rFonts w:hint="eastAsia" w:ascii="宋体"/>
          <w:color w:val="auto"/>
          <w:szCs w:val="21"/>
          <w:highlight w:val="none"/>
          <w:lang w:val="zh-CN"/>
        </w:rPr>
        <w:t>小时内给予修复，如发生紧急故障，在得到通知后，</w:t>
      </w:r>
      <w:r>
        <w:rPr>
          <w:rFonts w:hint="eastAsia" w:ascii="宋体"/>
          <w:color w:val="auto"/>
          <w:szCs w:val="21"/>
          <w:highlight w:val="none"/>
        </w:rPr>
        <w:t>乙方</w:t>
      </w:r>
      <w:r>
        <w:rPr>
          <w:rFonts w:hint="eastAsia" w:ascii="宋体"/>
          <w:color w:val="auto"/>
          <w:szCs w:val="21"/>
          <w:highlight w:val="none"/>
          <w:lang w:val="zh-CN"/>
        </w:rPr>
        <w:t>应立即响应，6 小时内到达现场。 因软硬件设备本身以外原因造成的故障</w:t>
      </w:r>
      <w:r>
        <w:rPr>
          <w:rFonts w:hint="eastAsia" w:ascii="宋体"/>
          <w:color w:val="auto"/>
          <w:szCs w:val="21"/>
          <w:highlight w:val="none"/>
        </w:rPr>
        <w:t>乙方</w:t>
      </w:r>
      <w:r>
        <w:rPr>
          <w:rFonts w:hint="eastAsia" w:ascii="宋体"/>
          <w:color w:val="auto"/>
          <w:szCs w:val="21"/>
          <w:highlight w:val="none"/>
          <w:lang w:val="zh-CN"/>
        </w:rPr>
        <w:t>承诺在最快的时间内修复。不能及时修复的，</w:t>
      </w:r>
      <w:r>
        <w:rPr>
          <w:rFonts w:hint="eastAsia" w:ascii="宋体"/>
          <w:color w:val="auto"/>
          <w:szCs w:val="21"/>
          <w:highlight w:val="none"/>
        </w:rPr>
        <w:t>乙方</w:t>
      </w:r>
      <w:r>
        <w:rPr>
          <w:rFonts w:hint="eastAsia" w:ascii="宋体"/>
          <w:color w:val="auto"/>
          <w:szCs w:val="21"/>
          <w:highlight w:val="none"/>
          <w:lang w:val="zh-CN"/>
        </w:rPr>
        <w:t>应免费提供备品备件，保证</w:t>
      </w:r>
      <w:r>
        <w:rPr>
          <w:rFonts w:hint="eastAsia" w:ascii="宋体"/>
          <w:color w:val="auto"/>
          <w:szCs w:val="21"/>
          <w:highlight w:val="none"/>
        </w:rPr>
        <w:t>甲方</w:t>
      </w:r>
      <w:r>
        <w:rPr>
          <w:rFonts w:hint="eastAsia" w:ascii="宋体"/>
          <w:color w:val="auto"/>
          <w:szCs w:val="21"/>
          <w:highlight w:val="none"/>
          <w:lang w:val="zh-CN"/>
        </w:rPr>
        <w:t>的正常使用。</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7、验收标准及方法：验收时要求按照相关标准和标书及合同文件，由</w:t>
      </w:r>
      <w:r>
        <w:rPr>
          <w:rFonts w:hint="eastAsia" w:ascii="宋体"/>
          <w:color w:val="auto"/>
          <w:szCs w:val="21"/>
          <w:highlight w:val="none"/>
        </w:rPr>
        <w:t>甲方</w:t>
      </w:r>
      <w:r>
        <w:rPr>
          <w:rFonts w:hint="eastAsia" w:ascii="宋体"/>
          <w:color w:val="auto"/>
          <w:szCs w:val="21"/>
          <w:highlight w:val="none"/>
          <w:lang w:val="zh-CN"/>
        </w:rPr>
        <w:t>签字确认，方可完成验收。</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8、质量检测及处罚：</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投标产品的检测结果不得低于</w:t>
      </w:r>
      <w:r>
        <w:rPr>
          <w:rFonts w:hint="eastAsia" w:ascii="宋体"/>
          <w:color w:val="auto"/>
          <w:szCs w:val="21"/>
          <w:highlight w:val="none"/>
        </w:rPr>
        <w:t>乙方</w:t>
      </w:r>
      <w:r>
        <w:rPr>
          <w:rFonts w:hint="eastAsia" w:ascii="宋体"/>
          <w:color w:val="auto"/>
          <w:szCs w:val="21"/>
          <w:highlight w:val="none"/>
          <w:lang w:val="zh-CN"/>
        </w:rPr>
        <w:t>投标文件中列明质量标准和投标时所送样品的质量（交货验收的各项检测数据不得低于样品的各项检测数据），否则将视为不合格而拒收，甲方有权要求</w:t>
      </w:r>
      <w:r>
        <w:rPr>
          <w:rFonts w:hint="eastAsia" w:ascii="宋体"/>
          <w:color w:val="auto"/>
          <w:szCs w:val="21"/>
          <w:highlight w:val="none"/>
        </w:rPr>
        <w:t>乙方</w:t>
      </w:r>
      <w:r>
        <w:rPr>
          <w:rFonts w:hint="eastAsia" w:ascii="宋体"/>
          <w:color w:val="auto"/>
          <w:szCs w:val="21"/>
          <w:highlight w:val="none"/>
          <w:lang w:val="zh-CN"/>
        </w:rPr>
        <w:t>更换合格产品，由此引起的风险由</w:t>
      </w:r>
      <w:r>
        <w:rPr>
          <w:rFonts w:hint="eastAsia" w:ascii="宋体"/>
          <w:color w:val="auto"/>
          <w:szCs w:val="21"/>
          <w:highlight w:val="none"/>
        </w:rPr>
        <w:t>乙方</w:t>
      </w:r>
      <w:r>
        <w:rPr>
          <w:rFonts w:hint="eastAsia" w:ascii="宋体"/>
          <w:color w:val="auto"/>
          <w:szCs w:val="21"/>
          <w:highlight w:val="none"/>
          <w:lang w:val="zh-CN"/>
        </w:rPr>
        <w:t>承担，同时甲方有权终止合同。</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b/>
          <w:bCs/>
          <w:color w:val="auto"/>
          <w:szCs w:val="21"/>
          <w:highlight w:val="none"/>
          <w:lang w:val="zh-CN"/>
        </w:rPr>
        <w:t>第六条交付和验收</w:t>
      </w:r>
    </w:p>
    <w:p>
      <w:pPr>
        <w:autoSpaceDE w:val="0"/>
        <w:autoSpaceDN w:val="0"/>
        <w:adjustRightInd w:val="0"/>
        <w:spacing w:line="360" w:lineRule="auto"/>
        <w:ind w:firstLine="420"/>
        <w:rPr>
          <w:rFonts w:ascii="宋体"/>
          <w:color w:val="auto"/>
          <w:szCs w:val="21"/>
          <w:highlight w:val="none"/>
        </w:rPr>
      </w:pPr>
      <w:r>
        <w:rPr>
          <w:rFonts w:hint="eastAsia" w:ascii="宋体"/>
          <w:color w:val="auto"/>
          <w:szCs w:val="21"/>
          <w:highlight w:val="none"/>
        </w:rPr>
        <w:t>1.乙方应当在</w:t>
      </w:r>
      <w:r>
        <w:rPr>
          <w:rFonts w:hint="eastAsia" w:ascii="宋体"/>
          <w:b/>
          <w:bCs/>
          <w:color w:val="auto"/>
          <w:szCs w:val="21"/>
          <w:highlight w:val="none"/>
        </w:rPr>
        <w:t>甲方规定的时间内</w:t>
      </w:r>
      <w:r>
        <w:rPr>
          <w:rFonts w:hint="eastAsia" w:ascii="宋体"/>
          <w:color w:val="auto"/>
          <w:szCs w:val="21"/>
          <w:highlight w:val="none"/>
        </w:rPr>
        <w:t>将货物送达并安装调试完毕交付甲方正常使用，交货地点：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color w:val="auto"/>
          <w:szCs w:val="21"/>
          <w:highlight w:val="none"/>
        </w:rPr>
        <w:t xml:space="preserve">。 采购文件有约定的，从其约定。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 xml:space="preserve">2.乙方交付的货物应当完全符合本合同或者采购文件所规定的货物、数量和规格要求。乙方提供的 货物不符合采购文件和合同规定的，甲方有权拒收货物，由此引起的风险，由乙方承担。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 xml:space="preserve">3.货物的到货验收包括：型号、规格、数量、外观质量、及货物包装是否完好。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 xml:space="preserve">4.乙方应将所提供货物的装箱清单、用户手册、原厂保修卡、随机资料及配件、随机工具等交付给甲方；乙方不能完整交付货物及本款规定的单证和工具的，视为未按合同约定交货，乙方负责补齐，因 此导致逾期交付的，由乙方承担相关的违约责任。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5.货物和系统调试验收的标准：按行业通行标准、厂方出厂标准和乙方响应文件的承诺（详见合同 附件载明的标准，并不低于国家相关标准）。</w:t>
      </w:r>
    </w:p>
    <w:p>
      <w:pPr>
        <w:autoSpaceDE w:val="0"/>
        <w:autoSpaceDN w:val="0"/>
        <w:adjustRightInd w:val="0"/>
        <w:spacing w:line="360" w:lineRule="auto"/>
        <w:ind w:firstLine="420"/>
        <w:rPr>
          <w:rFonts w:ascii="宋体"/>
          <w:b/>
          <w:bCs/>
          <w:i/>
          <w:iCs/>
          <w:color w:val="auto"/>
          <w:szCs w:val="21"/>
          <w:highlight w:val="none"/>
          <w:lang w:val="zh-CN"/>
        </w:rPr>
      </w:pPr>
      <w:r>
        <w:rPr>
          <w:rFonts w:hint="eastAsia" w:ascii="宋体"/>
          <w:b/>
          <w:bCs/>
          <w:color w:val="auto"/>
          <w:szCs w:val="21"/>
          <w:highlight w:val="none"/>
          <w:lang w:val="zh-CN"/>
        </w:rPr>
        <w:t>第</w:t>
      </w:r>
      <w:r>
        <w:rPr>
          <w:rFonts w:hint="eastAsia" w:ascii="宋体"/>
          <w:b/>
          <w:bCs/>
          <w:color w:val="auto"/>
          <w:szCs w:val="21"/>
          <w:highlight w:val="none"/>
        </w:rPr>
        <w:t>七</w:t>
      </w:r>
      <w:r>
        <w:rPr>
          <w:rFonts w:hint="eastAsia" w:ascii="宋体"/>
          <w:b/>
          <w:bCs/>
          <w:color w:val="auto"/>
          <w:szCs w:val="21"/>
          <w:highlight w:val="none"/>
          <w:lang w:val="zh-CN"/>
        </w:rPr>
        <w:t>条合同款支付</w:t>
      </w:r>
    </w:p>
    <w:p>
      <w:pPr>
        <w:autoSpaceDE w:val="0"/>
        <w:autoSpaceDN w:val="0"/>
        <w:adjustRightInd w:val="0"/>
        <w:spacing w:line="360" w:lineRule="auto"/>
        <w:ind w:firstLine="420"/>
        <w:rPr>
          <w:rFonts w:ascii="宋体"/>
          <w:color w:val="auto"/>
          <w:szCs w:val="21"/>
          <w:highlight w:val="none"/>
          <w:lang w:val="zh-CN"/>
        </w:rPr>
      </w:pPr>
      <w:r>
        <w:rPr>
          <w:rFonts w:ascii="宋体"/>
          <w:color w:val="auto"/>
          <w:szCs w:val="21"/>
          <w:highlight w:val="none"/>
          <w:lang w:val="zh-CN"/>
        </w:rPr>
        <w:t>1</w:t>
      </w:r>
      <w:r>
        <w:rPr>
          <w:rFonts w:hint="eastAsia" w:ascii="宋体"/>
          <w:color w:val="auto"/>
          <w:szCs w:val="21"/>
          <w:highlight w:val="none"/>
          <w:lang w:val="zh-CN"/>
        </w:rPr>
        <w:t>、本合同项下所有款项均以人民币支付。</w:t>
      </w:r>
    </w:p>
    <w:p>
      <w:pPr>
        <w:autoSpaceDE w:val="0"/>
        <w:autoSpaceDN w:val="0"/>
        <w:adjustRightInd w:val="0"/>
        <w:spacing w:line="360" w:lineRule="auto"/>
        <w:ind w:firstLine="420"/>
        <w:rPr>
          <w:rFonts w:ascii="宋体"/>
          <w:color w:val="auto"/>
          <w:szCs w:val="21"/>
          <w:highlight w:val="none"/>
          <w:lang w:val="zh-CN"/>
        </w:rPr>
      </w:pPr>
      <w:r>
        <w:rPr>
          <w:rFonts w:ascii="宋体"/>
          <w:color w:val="auto"/>
          <w:szCs w:val="21"/>
          <w:highlight w:val="none"/>
          <w:lang w:val="zh-CN"/>
        </w:rPr>
        <w:t>2</w:t>
      </w:r>
      <w:r>
        <w:rPr>
          <w:rFonts w:hint="eastAsia" w:ascii="宋体"/>
          <w:color w:val="auto"/>
          <w:szCs w:val="21"/>
          <w:highlight w:val="none"/>
          <w:lang w:val="zh-CN"/>
        </w:rPr>
        <w:t>、本合同项下的采购资金由甲方自行支付，甲方每次付款前，乙方应向甲方开具等额增值税专用发票。否则，甲方有权拒绝付款。</w:t>
      </w:r>
    </w:p>
    <w:p>
      <w:pPr>
        <w:spacing w:line="360" w:lineRule="auto"/>
        <w:ind w:firstLine="420" w:firstLineChars="200"/>
        <w:jc w:val="left"/>
        <w:rPr>
          <w:rFonts w:ascii="宋体" w:hAnsi="宋体"/>
          <w:b/>
          <w:bCs/>
          <w:color w:val="auto"/>
          <w:szCs w:val="21"/>
          <w:highlight w:val="none"/>
        </w:rPr>
      </w:pPr>
      <w:r>
        <w:rPr>
          <w:rFonts w:hint="eastAsia" w:ascii="宋体" w:hAnsi="宋体"/>
          <w:color w:val="auto"/>
          <w:kern w:val="0"/>
          <w:szCs w:val="21"/>
          <w:highlight w:val="none"/>
          <w:lang w:val="zh-CN"/>
        </w:rPr>
        <w:t>3、设备款</w:t>
      </w:r>
      <w:r>
        <w:rPr>
          <w:rFonts w:ascii="宋体" w:hAnsi="宋体"/>
          <w:color w:val="auto"/>
          <w:szCs w:val="21"/>
          <w:highlight w:val="none"/>
        </w:rPr>
        <w:t>付款周期</w:t>
      </w:r>
    </w:p>
    <w:p>
      <w:pPr>
        <w:autoSpaceDE w:val="0"/>
        <w:autoSpaceDN w:val="0"/>
        <w:adjustRightInd w:val="0"/>
        <w:spacing w:line="360" w:lineRule="auto"/>
        <w:ind w:firstLine="420"/>
        <w:rPr>
          <w:rFonts w:hint="eastAsia" w:ascii="宋体"/>
          <w:color w:val="auto"/>
          <w:szCs w:val="21"/>
          <w:highlight w:val="none"/>
          <w:lang w:val="zh-CN"/>
        </w:rPr>
      </w:pPr>
      <w:r>
        <w:rPr>
          <w:rFonts w:hint="eastAsia" w:ascii="宋体"/>
          <w:color w:val="auto"/>
          <w:szCs w:val="21"/>
          <w:highlight w:val="none"/>
          <w:lang w:val="zh-CN"/>
        </w:rPr>
        <w:t>1、乙方中标后在合同签订前，应提供合同总价10%的履约保证金，按甲方要求汇至指定账户（开户行：中国建设银行南通经济技术开发区支行，帐号： 32001642336052515609，统一社会信用代码：123200004660042577），履约保证金在项目最终验收合格满1年，无息退还乙方合同总价5%的履约保证金，满3年且无质量问题后一次性（无息）退还乙方合同总价5%的履约保证金。</w:t>
      </w:r>
    </w:p>
    <w:p>
      <w:pPr>
        <w:autoSpaceDE w:val="0"/>
        <w:autoSpaceDN w:val="0"/>
        <w:adjustRightInd w:val="0"/>
        <w:spacing w:line="360" w:lineRule="auto"/>
        <w:ind w:firstLine="420"/>
        <w:rPr>
          <w:rFonts w:hint="eastAsia" w:ascii="宋体"/>
          <w:color w:val="auto"/>
          <w:szCs w:val="21"/>
          <w:highlight w:val="none"/>
          <w:lang w:val="zh-CN"/>
        </w:rPr>
      </w:pPr>
      <w:r>
        <w:rPr>
          <w:rFonts w:hint="eastAsia" w:ascii="宋体"/>
          <w:color w:val="auto"/>
          <w:szCs w:val="21"/>
          <w:highlight w:val="none"/>
          <w:lang w:val="zh-CN"/>
        </w:rPr>
        <w:t>2、在签订合同后，甲方支付乙方预付款为合同总价的30%；按要求将货物（设备）送到指定交货地点，货到施工现场，甲方支付合同总价的50%；货物（设备）安装调试结束后，完成当地质量技术监督部门验收合格，甲方组织对设备（系统）进行最终验收，项目最终验收合格后（以甲方签发终验收合格证书为准），甲方向乙方支付合同总价的20%。</w:t>
      </w:r>
    </w:p>
    <w:p>
      <w:pPr>
        <w:autoSpaceDE w:val="0"/>
        <w:autoSpaceDN w:val="0"/>
        <w:adjustRightInd w:val="0"/>
        <w:spacing w:line="360" w:lineRule="auto"/>
        <w:ind w:firstLine="420"/>
        <w:rPr>
          <w:rFonts w:hint="eastAsia" w:ascii="宋体"/>
          <w:color w:val="auto"/>
          <w:szCs w:val="21"/>
          <w:highlight w:val="none"/>
          <w:lang w:val="zh-CN"/>
        </w:rPr>
      </w:pPr>
      <w:r>
        <w:rPr>
          <w:rFonts w:hint="eastAsia" w:ascii="宋体"/>
          <w:color w:val="auto"/>
          <w:szCs w:val="21"/>
          <w:highlight w:val="none"/>
          <w:lang w:val="zh-CN"/>
        </w:rPr>
        <w:t>3、每次付款前乙方须提供付合甲方财务要求的正式增值税专用发票，否则甲方有权拒绝支付合同款，而不承担违约责任。</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b/>
          <w:bCs/>
          <w:color w:val="auto"/>
          <w:szCs w:val="21"/>
          <w:highlight w:val="none"/>
          <w:lang w:val="zh-CN"/>
        </w:rPr>
        <w:t>第</w:t>
      </w:r>
      <w:r>
        <w:rPr>
          <w:rFonts w:hint="eastAsia" w:ascii="宋体"/>
          <w:b/>
          <w:bCs/>
          <w:color w:val="auto"/>
          <w:szCs w:val="21"/>
          <w:highlight w:val="none"/>
        </w:rPr>
        <w:t>八</w:t>
      </w:r>
      <w:r>
        <w:rPr>
          <w:rFonts w:hint="eastAsia" w:ascii="宋体"/>
          <w:b/>
          <w:bCs/>
          <w:color w:val="auto"/>
          <w:szCs w:val="21"/>
          <w:highlight w:val="none"/>
          <w:lang w:val="zh-CN"/>
        </w:rPr>
        <w:t>条 违约责任</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１、甲方无正当理由拒收服务、拒付服务款的，由甲方向乙方偿付合同总价的</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违约金。</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２、甲方未按合同规定的期限向乙方支付合同价款的，每逾期</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天甲方向乙方偿付欠款总额的</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‰滞纳金，但累计滞纳金总额不超过欠款总额的</w:t>
      </w:r>
      <w:r>
        <w:rPr>
          <w:rFonts w:ascii="宋体" w:hAnsi="宋体" w:cs="宋体"/>
          <w:color w:val="auto"/>
          <w:kern w:val="0"/>
          <w:szCs w:val="21"/>
          <w:highlight w:val="none"/>
          <w:lang w:val="zh-CN"/>
        </w:rPr>
        <w:t xml:space="preserve">5% </w:t>
      </w:r>
      <w:r>
        <w:rPr>
          <w:rFonts w:hint="eastAsia" w:ascii="宋体" w:hAnsi="宋体" w:cs="宋体"/>
          <w:color w:val="auto"/>
          <w:kern w:val="0"/>
          <w:szCs w:val="21"/>
          <w:highlight w:val="none"/>
          <w:lang w:val="zh-CN"/>
        </w:rPr>
        <w:t>。</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３、如乙方不能交付服务、完成安装调试的，乙方应向甲方支付合同总价</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的违约金。</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４、乙方逾期交付的，每逾期</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天，乙方向甲方偿付合同总额的</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‰的滞纳金。如乙方逾期交付达</w:t>
      </w:r>
      <w:r>
        <w:rPr>
          <w:rFonts w:ascii="宋体" w:hAnsi="宋体" w:cs="宋体"/>
          <w:color w:val="auto"/>
          <w:kern w:val="0"/>
          <w:szCs w:val="21"/>
          <w:highlight w:val="none"/>
          <w:lang w:val="zh-CN"/>
        </w:rPr>
        <w:t>10</w:t>
      </w:r>
      <w:r>
        <w:rPr>
          <w:rFonts w:hint="eastAsia" w:ascii="宋体" w:hAnsi="宋体" w:cs="宋体"/>
          <w:color w:val="auto"/>
          <w:kern w:val="0"/>
          <w:szCs w:val="21"/>
          <w:highlight w:val="none"/>
          <w:lang w:val="zh-CN"/>
        </w:rPr>
        <w:t>天，甲方有权解除合同，</w:t>
      </w:r>
      <w:r>
        <w:rPr>
          <w:rFonts w:hint="eastAsia" w:ascii="宋体" w:hAnsi="宋体"/>
          <w:color w:val="auto"/>
          <w:highlight w:val="none"/>
        </w:rPr>
        <w:t>且有权要求乙方支付合同总额</w:t>
      </w:r>
      <w:r>
        <w:rPr>
          <w:rFonts w:ascii="宋体" w:hAnsi="宋体"/>
          <w:color w:val="auto"/>
          <w:highlight w:val="none"/>
        </w:rPr>
        <w:t>5%</w:t>
      </w:r>
      <w:r>
        <w:rPr>
          <w:rFonts w:hint="eastAsia" w:ascii="宋体" w:hAnsi="宋体"/>
          <w:color w:val="auto"/>
          <w:highlight w:val="none"/>
        </w:rPr>
        <w:t>的违约金。</w:t>
      </w:r>
      <w:r>
        <w:rPr>
          <w:rFonts w:hint="eastAsia" w:ascii="宋体" w:hAnsi="宋体" w:cs="宋体"/>
          <w:color w:val="auto"/>
          <w:kern w:val="0"/>
          <w:szCs w:val="21"/>
          <w:highlight w:val="none"/>
          <w:lang w:val="zh-CN"/>
        </w:rPr>
        <w:t>甲方有权解除合同，解除合同的通知自到达乙方时生效。</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５、乙方所交付的服务不符合合同规定的，甲方有权拒收</w:t>
      </w:r>
      <w:r>
        <w:rPr>
          <w:rFonts w:hint="eastAsia" w:ascii="宋体" w:hAnsi="宋体"/>
          <w:color w:val="auto"/>
          <w:szCs w:val="21"/>
          <w:highlight w:val="none"/>
        </w:rPr>
        <w:t>且甲方有权不予支付未付合同价款</w:t>
      </w:r>
      <w:r>
        <w:rPr>
          <w:rFonts w:hint="eastAsia" w:ascii="宋体" w:hAnsi="宋体" w:cs="宋体"/>
          <w:color w:val="auto"/>
          <w:kern w:val="0"/>
          <w:szCs w:val="21"/>
          <w:highlight w:val="none"/>
          <w:lang w:val="zh-CN"/>
        </w:rPr>
        <w:t>。甲方拒收的，乙方应向甲方支付合同总款</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的违约金。甲方未拒收的，采购代理机构发现后将向有关部门反映，并责成乙方按照采购结果提供服务，同时</w:t>
      </w:r>
      <w:r>
        <w:rPr>
          <w:rFonts w:hint="eastAsia" w:ascii="宋体" w:hAnsi="宋体" w:cs="宋体"/>
          <w:color w:val="auto"/>
          <w:kern w:val="0"/>
          <w:szCs w:val="21"/>
          <w:highlight w:val="none"/>
        </w:rPr>
        <w:t>可要求乙方向甲方支付合同总款5%的违约金。</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６、在乙方承诺的或国家规定的</w:t>
      </w:r>
      <w:r>
        <w:rPr>
          <w:rFonts w:hint="eastAsia" w:ascii="宋体" w:hAnsi="宋体" w:cs="宋体"/>
          <w:b/>
          <w:color w:val="auto"/>
          <w:kern w:val="0"/>
          <w:szCs w:val="21"/>
          <w:highlight w:val="none"/>
          <w:lang w:val="zh-CN"/>
        </w:rPr>
        <w:t>质量保证期内</w:t>
      </w:r>
      <w:r>
        <w:rPr>
          <w:rFonts w:hint="eastAsia" w:ascii="宋体" w:hAnsi="宋体" w:cs="宋体"/>
          <w:color w:val="auto"/>
          <w:kern w:val="0"/>
          <w:szCs w:val="21"/>
          <w:highlight w:val="none"/>
          <w:lang w:val="zh-CN"/>
        </w:rPr>
        <w:t>（取两者中最长的期限），如经乙方两次整改仍不能达到合同约定的质量标准或者乙方拒不整改，乙方应退回全部合同价款，并按</w:t>
      </w:r>
      <w:r>
        <w:rPr>
          <w:rFonts w:hint="eastAsia" w:ascii="宋体" w:hAnsi="宋体" w:cs="宋体"/>
          <w:color w:val="auto"/>
          <w:kern w:val="0"/>
          <w:szCs w:val="21"/>
          <w:highlight w:val="none"/>
        </w:rPr>
        <w:t>本条</w:t>
      </w:r>
      <w:r>
        <w:rPr>
          <w:rFonts w:hint="eastAsia" w:ascii="宋体" w:hAnsi="宋体" w:cs="宋体"/>
          <w:color w:val="auto"/>
          <w:kern w:val="0"/>
          <w:szCs w:val="21"/>
          <w:highlight w:val="none"/>
          <w:lang w:val="zh-CN"/>
        </w:rPr>
        <w:t>第</w:t>
      </w: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款处理，同时，乙方还须赔偿甲方因此遭受的损失。</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7</w:t>
      </w:r>
      <w:r>
        <w:rPr>
          <w:rFonts w:hint="eastAsia" w:ascii="宋体" w:hAnsi="宋体" w:cs="宋体"/>
          <w:color w:val="auto"/>
          <w:kern w:val="0"/>
          <w:szCs w:val="21"/>
          <w:highlight w:val="none"/>
          <w:lang w:val="zh-CN"/>
        </w:rPr>
        <w:t>、乙方未按本合同的规定和“服务承诺”提供伴随服务</w:t>
      </w:r>
      <w:r>
        <w:rPr>
          <w:rFonts w:ascii="宋体" w:hAnsi="宋体" w:cs="宋体"/>
          <w:color w:val="auto"/>
          <w:kern w:val="0"/>
          <w:szCs w:val="21"/>
          <w:highlight w:val="none"/>
          <w:lang w:val="zh-CN"/>
        </w:rPr>
        <w:t>/</w:t>
      </w:r>
      <w:r>
        <w:rPr>
          <w:rFonts w:hint="eastAsia" w:ascii="宋体" w:hAnsi="宋体" w:cs="宋体"/>
          <w:color w:val="auto"/>
          <w:kern w:val="0"/>
          <w:szCs w:val="21"/>
          <w:highlight w:val="none"/>
          <w:lang w:val="zh-CN"/>
        </w:rPr>
        <w:t>售后服务的，应按合同总价款的</w:t>
      </w:r>
      <w:r>
        <w:rPr>
          <w:rFonts w:ascii="宋体" w:hAnsi="宋体" w:cs="宋体"/>
          <w:color w:val="auto"/>
          <w:kern w:val="0"/>
          <w:szCs w:val="21"/>
          <w:highlight w:val="none"/>
          <w:lang w:val="zh-CN"/>
        </w:rPr>
        <w:t>5 %</w:t>
      </w:r>
      <w:r>
        <w:rPr>
          <w:rFonts w:hint="eastAsia" w:ascii="宋体" w:hAnsi="宋体" w:cs="宋体"/>
          <w:color w:val="auto"/>
          <w:kern w:val="0"/>
          <w:szCs w:val="21"/>
          <w:highlight w:val="none"/>
          <w:lang w:val="zh-CN"/>
        </w:rPr>
        <w:t>向甲方承担违约责任。</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8</w:t>
      </w:r>
      <w:r>
        <w:rPr>
          <w:rFonts w:hint="eastAsia" w:ascii="宋体" w:hAnsi="宋体" w:cs="宋体"/>
          <w:color w:val="auto"/>
          <w:kern w:val="0"/>
          <w:szCs w:val="21"/>
          <w:highlight w:val="none"/>
          <w:lang w:val="zh-CN"/>
        </w:rPr>
        <w:t>、乙方在承担上述</w:t>
      </w:r>
      <w:r>
        <w:rPr>
          <w:rFonts w:ascii="宋体" w:hAnsi="宋体" w:cs="宋体"/>
          <w:color w:val="auto"/>
          <w:kern w:val="0"/>
          <w:szCs w:val="21"/>
          <w:highlight w:val="none"/>
          <w:lang w:val="zh-CN"/>
        </w:rPr>
        <w:t>3-7</w:t>
      </w:r>
      <w:r>
        <w:rPr>
          <w:rFonts w:hint="eastAsia" w:ascii="宋体" w:hAnsi="宋体" w:cs="宋体"/>
          <w:color w:val="auto"/>
          <w:kern w:val="0"/>
          <w:szCs w:val="21"/>
          <w:highlight w:val="none"/>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360" w:lineRule="auto"/>
        <w:ind w:firstLine="420"/>
        <w:rPr>
          <w:rFonts w:ascii="宋体" w:hAnsi="宋体" w:cs="宋体"/>
          <w:color w:val="auto"/>
          <w:kern w:val="0"/>
          <w:szCs w:val="21"/>
          <w:highlight w:val="none"/>
          <w:lang w:val="zh-CN"/>
        </w:rPr>
      </w:pPr>
      <w:r>
        <w:rPr>
          <w:rFonts w:ascii="宋体" w:hAnsi="宋体" w:cs="宋体"/>
          <w:color w:val="auto"/>
          <w:kern w:val="0"/>
          <w:szCs w:val="21"/>
          <w:highlight w:val="none"/>
          <w:lang w:val="zh-CN"/>
        </w:rPr>
        <w:t>9</w:t>
      </w:r>
      <w:r>
        <w:rPr>
          <w:rFonts w:hint="eastAsia" w:ascii="宋体" w:hAnsi="宋体" w:cs="宋体"/>
          <w:color w:val="auto"/>
          <w:kern w:val="0"/>
          <w:szCs w:val="21"/>
          <w:highlight w:val="none"/>
          <w:lang w:val="zh-CN"/>
        </w:rPr>
        <w:t>、乙方投标属虚假承诺，或经权威部门监测提供的服务不能满足招标文件要求，或是由于乙方的过错造成合同无法继续履行的，乙方履约保证金不予退还外，还应向甲方支付不少于合同总价</w:t>
      </w:r>
      <w:r>
        <w:rPr>
          <w:rFonts w:ascii="宋体" w:hAnsi="宋体" w:cs="宋体"/>
          <w:color w:val="auto"/>
          <w:kern w:val="0"/>
          <w:szCs w:val="21"/>
          <w:highlight w:val="none"/>
          <w:lang w:val="zh-CN"/>
        </w:rPr>
        <w:t>30%</w:t>
      </w:r>
      <w:r>
        <w:rPr>
          <w:rFonts w:hint="eastAsia" w:ascii="宋体" w:hAnsi="宋体" w:cs="宋体"/>
          <w:color w:val="auto"/>
          <w:kern w:val="0"/>
          <w:szCs w:val="21"/>
          <w:highlight w:val="none"/>
          <w:lang w:val="zh-CN"/>
        </w:rPr>
        <w:t>赔偿金。</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w:t>
      </w:r>
      <w:r>
        <w:rPr>
          <w:rFonts w:hint="eastAsia" w:ascii="宋体" w:hAnsi="宋体" w:cs="宋体"/>
          <w:b/>
          <w:bCs/>
          <w:color w:val="auto"/>
          <w:kern w:val="0"/>
          <w:szCs w:val="21"/>
          <w:highlight w:val="none"/>
        </w:rPr>
        <w:t>九</w:t>
      </w:r>
      <w:r>
        <w:rPr>
          <w:rFonts w:hint="eastAsia" w:ascii="宋体" w:hAnsi="宋体" w:cs="宋体"/>
          <w:b/>
          <w:bCs/>
          <w:color w:val="auto"/>
          <w:kern w:val="0"/>
          <w:szCs w:val="21"/>
          <w:highlight w:val="none"/>
          <w:lang w:val="zh-CN"/>
        </w:rPr>
        <w:t>条合同的变更和终止</w:t>
      </w:r>
    </w:p>
    <w:p>
      <w:pPr>
        <w:adjustRightInd w:val="0"/>
        <w:spacing w:line="360" w:lineRule="auto"/>
        <w:ind w:firstLine="420" w:firstLineChars="200"/>
        <w:rPr>
          <w:rFonts w:ascii="宋体" w:cs="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s="宋体"/>
          <w:color w:val="auto"/>
          <w:kern w:val="0"/>
          <w:szCs w:val="21"/>
          <w:highlight w:val="none"/>
          <w:lang w:val="zh-CN"/>
        </w:rPr>
        <w:t>、本合同一经签订，甲乙双方不得擅自变更、中止或终止合同。</w:t>
      </w:r>
    </w:p>
    <w:p>
      <w:pPr>
        <w:adjustRightInd w:val="0"/>
        <w:spacing w:line="360" w:lineRule="auto"/>
        <w:ind w:firstLine="420" w:firstLineChars="200"/>
        <w:rPr>
          <w:rFonts w:ascii="宋体" w:cs="宋体"/>
          <w:color w:val="auto"/>
          <w:kern w:val="0"/>
          <w:szCs w:val="21"/>
          <w:highlight w:val="none"/>
          <w:lang w:val="zh-CN"/>
        </w:rPr>
      </w:pPr>
      <w:r>
        <w:rPr>
          <w:rFonts w:ascii="宋体" w:hAnsi="宋体"/>
          <w:color w:val="auto"/>
          <w:kern w:val="0"/>
          <w:szCs w:val="21"/>
          <w:highlight w:val="none"/>
          <w:lang w:val="zh-CN"/>
        </w:rPr>
        <w:t>2</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除发生法律规定的不能预见、不能避免并不能克服的客观情况外，甲乙双方不得放弃或拒绝履行合同。乙方放弃或拒绝履行合同，保证金不予退还。</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第十条合同的转让</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乙方不得部分或全部转让其应履行的合同义务。</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第十</w:t>
      </w: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val="zh-CN"/>
        </w:rPr>
        <w:t>条争议的解决</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、因服务的质量问题发生争议的，应当由甲方邀请国家认可的质量检测机构对服务质量进行鉴定。符合标准的，鉴定费由甲方承担；不符合质量标准的，鉴定费由乙方承担。</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2</w:t>
      </w:r>
      <w:r>
        <w:rPr>
          <w:rFonts w:hint="eastAsia" w:ascii="宋体" w:hAnsi="宋体" w:cs="宋体"/>
          <w:color w:val="auto"/>
          <w:kern w:val="0"/>
          <w:szCs w:val="21"/>
          <w:highlight w:val="none"/>
          <w:lang w:val="zh-CN"/>
        </w:rPr>
        <w:t>、因履行本合同引起的或与本合同有关的争议，甲、乙双方应首先通过友好协商解决，如果协商不能解决争议，则采取以下第（</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）种方式解决争议：</w:t>
      </w:r>
    </w:p>
    <w:p>
      <w:pPr>
        <w:adjustRightInd w:val="0"/>
        <w:spacing w:line="360" w:lineRule="auto"/>
        <w:ind w:firstLine="560"/>
        <w:rPr>
          <w:rFonts w:asci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）向甲方所在地有管辖权的人民法院提起诉讼；</w:t>
      </w:r>
    </w:p>
    <w:p>
      <w:pPr>
        <w:adjustRightInd w:val="0"/>
        <w:spacing w:line="360" w:lineRule="auto"/>
        <w:ind w:firstLine="560"/>
        <w:rPr>
          <w:rFonts w:asci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2</w:t>
      </w:r>
      <w:r>
        <w:rPr>
          <w:rFonts w:hint="eastAsia" w:ascii="宋体" w:hAnsi="宋体" w:cs="宋体"/>
          <w:color w:val="auto"/>
          <w:kern w:val="0"/>
          <w:szCs w:val="21"/>
          <w:highlight w:val="none"/>
          <w:lang w:val="zh-CN"/>
        </w:rPr>
        <w:t>）向南京仲裁委员会按其仲裁规则申请仲裁。</w:t>
      </w:r>
    </w:p>
    <w:p>
      <w:pPr>
        <w:adjustRightInd w:val="0"/>
        <w:spacing w:line="360" w:lineRule="auto"/>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如没有约定，默认采取第（</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）种方式解决争议。</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、在</w:t>
      </w:r>
      <w:r>
        <w:rPr>
          <w:rFonts w:hint="eastAsia"/>
          <w:color w:val="auto"/>
          <w:highlight w:val="none"/>
        </w:rPr>
        <w:t>诉讼</w:t>
      </w:r>
      <w:r>
        <w:rPr>
          <w:rFonts w:hint="eastAsia" w:ascii="宋体" w:hAnsi="宋体" w:cs="宋体"/>
          <w:color w:val="auto"/>
          <w:kern w:val="0"/>
          <w:szCs w:val="21"/>
          <w:highlight w:val="none"/>
          <w:lang w:val="zh-CN"/>
        </w:rPr>
        <w:t>期间，本合同应继续履行</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第十</w:t>
      </w: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val="zh-CN"/>
        </w:rPr>
        <w:t>条诚实信用</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乙方应诚实信用，严格按照招标文件要求和投标承诺履行合同，不向甲方进行商业贿赂或者提供不正当利益。</w:t>
      </w:r>
    </w:p>
    <w:p>
      <w:pPr>
        <w:adjustRightInd w:val="0"/>
        <w:spacing w:line="360" w:lineRule="auto"/>
        <w:ind w:firstLine="420"/>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第十</w:t>
      </w: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val="zh-CN"/>
        </w:rPr>
        <w:t xml:space="preserve">条保密 </w:t>
      </w:r>
    </w:p>
    <w:p>
      <w:pPr>
        <w:adjustRightInd w:val="0"/>
        <w:spacing w:line="360" w:lineRule="auto"/>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合同双方应对因履行合同而取得的另一方当事人的信息、资料等予以保密。未经另一方当事人书面同意，任何一方均不得为与履行合同无关的目的使用或向第三方披露另一方当事人提供的信息、资料。 </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第十</w:t>
      </w: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zh-CN"/>
        </w:rPr>
        <w:t>条合同生效及其他</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、本合同自双方签字盖章之日起生效。</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2</w:t>
      </w:r>
      <w:r>
        <w:rPr>
          <w:rFonts w:hint="eastAsia" w:ascii="宋体" w:hAnsi="宋体" w:cs="宋体"/>
          <w:color w:val="auto"/>
          <w:kern w:val="0"/>
          <w:szCs w:val="21"/>
          <w:highlight w:val="none"/>
          <w:lang w:val="zh-CN"/>
        </w:rPr>
        <w:t>、本合同一式捌份，甲执肆份，乙执肆份，，</w:t>
      </w:r>
      <w:r>
        <w:rPr>
          <w:rFonts w:hint="eastAsia" w:ascii="宋体" w:hAnsi="宋体" w:cs="宋体"/>
          <w:color w:val="auto"/>
          <w:kern w:val="0"/>
          <w:szCs w:val="21"/>
          <w:highlight w:val="none"/>
        </w:rPr>
        <w:t>均具有同等法律效力</w:t>
      </w:r>
      <w:r>
        <w:rPr>
          <w:rFonts w:hint="eastAsia" w:ascii="宋体" w:hAnsi="宋体" w:cs="宋体"/>
          <w:color w:val="auto"/>
          <w:kern w:val="0"/>
          <w:szCs w:val="21"/>
          <w:highlight w:val="none"/>
          <w:lang w:val="zh-CN"/>
        </w:rPr>
        <w:t>。</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、本合同应按照中华人民共和国的现行法律进行解释。</w:t>
      </w:r>
    </w:p>
    <w:p>
      <w:pPr>
        <w:adjustRightInd w:val="0"/>
        <w:spacing w:line="380" w:lineRule="exact"/>
        <w:ind w:firstLine="420"/>
        <w:rPr>
          <w:rFonts w:ascii="宋体" w:cs="宋体"/>
          <w:color w:val="auto"/>
          <w:kern w:val="0"/>
          <w:szCs w:val="21"/>
          <w:highlight w:val="none"/>
          <w:lang w:val="zh-CN"/>
        </w:rPr>
      </w:pPr>
    </w:p>
    <w:tbl>
      <w:tblPr>
        <w:tblStyle w:val="37"/>
        <w:tblW w:w="9583" w:type="dxa"/>
        <w:tblInd w:w="-108" w:type="dxa"/>
        <w:tblLayout w:type="fixed"/>
        <w:tblCellMar>
          <w:top w:w="0" w:type="dxa"/>
          <w:left w:w="0" w:type="dxa"/>
          <w:bottom w:w="0" w:type="dxa"/>
          <w:right w:w="0" w:type="dxa"/>
        </w:tblCellMar>
      </w:tblPr>
      <w:tblGrid>
        <w:gridCol w:w="4643"/>
        <w:gridCol w:w="4940"/>
      </w:tblGrid>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left="420" w:right="105" w:rightChars="50" w:hanging="420" w:hanging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甲方（招标人）：</w:t>
            </w:r>
            <w:r>
              <w:rPr>
                <w:rFonts w:ascii="宋体" w:hAnsi="宋体" w:cs="宋体"/>
                <w:color w:val="auto"/>
                <w:kern w:val="0"/>
                <w:szCs w:val="21"/>
                <w:highlight w:val="none"/>
                <w:lang w:val="zh-CN"/>
              </w:rPr>
              <w:t xml:space="preserve"> </w:t>
            </w:r>
          </w:p>
          <w:p>
            <w:pPr>
              <w:adjustRightInd w:val="0"/>
              <w:spacing w:line="380" w:lineRule="exact"/>
              <w:ind w:left="420" w:leftChars="200" w:right="105" w:rightChars="50" w:firstLine="210" w:firstLineChars="100"/>
              <w:rPr>
                <w:rFonts w:ascii="宋体" w:cs="宋体"/>
                <w:color w:val="auto"/>
                <w:kern w:val="0"/>
                <w:szCs w:val="21"/>
                <w:highlight w:val="none"/>
                <w:lang w:val="zh-CN"/>
              </w:rPr>
            </w:pPr>
            <w:r>
              <w:rPr>
                <w:rFonts w:hint="eastAsia" w:ascii="宋体" w:hAnsi="宋体" w:cs="宋体"/>
                <w:color w:val="auto"/>
                <w:kern w:val="0"/>
                <w:szCs w:val="21"/>
                <w:highlight w:val="none"/>
                <w:lang w:val="zh-CN"/>
              </w:rPr>
              <w:t>（盖章）</w:t>
            </w:r>
            <w:r>
              <w:rPr>
                <w:rFonts w:hint="eastAsia" w:ascii="宋体" w:hAnsi="宋体" w:cs="宋体"/>
                <w:color w:val="auto"/>
                <w:kern w:val="0"/>
                <w:szCs w:val="21"/>
                <w:highlight w:val="none"/>
              </w:rPr>
              <w:t xml:space="preserve"> </w:t>
            </w:r>
          </w:p>
        </w:tc>
        <w:tc>
          <w:tcPr>
            <w:tcW w:w="4940" w:type="dxa"/>
            <w:tcBorders>
              <w:top w:val="nil"/>
              <w:left w:val="nil"/>
              <w:bottom w:val="nil"/>
              <w:right w:val="nil"/>
            </w:tcBorders>
          </w:tcPr>
          <w:p>
            <w:pPr>
              <w:adjustRightInd w:val="0"/>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乙方（供应商）：</w:t>
            </w:r>
          </w:p>
          <w:p>
            <w:pPr>
              <w:adjustRightInd w:val="0"/>
              <w:spacing w:line="380" w:lineRule="exact"/>
              <w:ind w:firstLine="630" w:firstLineChars="300"/>
              <w:rPr>
                <w:rFonts w:ascii="宋体" w:cs="宋体"/>
                <w:color w:val="auto"/>
                <w:kern w:val="0"/>
                <w:szCs w:val="21"/>
                <w:highlight w:val="none"/>
                <w:lang w:val="zh-CN"/>
              </w:rPr>
            </w:pPr>
            <w:r>
              <w:rPr>
                <w:rFonts w:hint="eastAsia" w:ascii="宋体" w:hAnsi="宋体" w:cs="宋体"/>
                <w:color w:val="auto"/>
                <w:kern w:val="0"/>
                <w:szCs w:val="21"/>
                <w:highlight w:val="none"/>
                <w:lang w:val="zh-CN"/>
              </w:rPr>
              <w:t>（盖章）</w:t>
            </w:r>
          </w:p>
        </w:tc>
      </w:tr>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right="105" w:rightChars="50"/>
              <w:rPr>
                <w:rFonts w:ascii="宋体" w:cs="宋体"/>
                <w:color w:val="auto"/>
                <w:kern w:val="0"/>
                <w:szCs w:val="21"/>
                <w:highlight w:val="none"/>
              </w:rPr>
            </w:pPr>
            <w:r>
              <w:rPr>
                <w:rFonts w:hint="eastAsia" w:ascii="宋体" w:hAnsi="宋体" w:cs="宋体"/>
                <w:color w:val="auto"/>
                <w:kern w:val="0"/>
                <w:szCs w:val="21"/>
                <w:highlight w:val="none"/>
                <w:lang w:val="zh-CN"/>
              </w:rPr>
              <w:t>代表人：</w:t>
            </w:r>
          </w:p>
        </w:tc>
        <w:tc>
          <w:tcPr>
            <w:tcW w:w="4940" w:type="dxa"/>
            <w:tcBorders>
              <w:top w:val="nil"/>
              <w:left w:val="nil"/>
              <w:bottom w:val="nil"/>
              <w:right w:val="nil"/>
            </w:tcBorders>
          </w:tcPr>
          <w:p>
            <w:pPr>
              <w:adjustRightInd w:val="0"/>
              <w:spacing w:line="380" w:lineRule="exact"/>
              <w:rPr>
                <w:rFonts w:ascii="宋体" w:cs="宋体"/>
                <w:color w:val="auto"/>
                <w:kern w:val="0"/>
                <w:szCs w:val="21"/>
                <w:highlight w:val="none"/>
              </w:rPr>
            </w:pPr>
            <w:r>
              <w:rPr>
                <w:rFonts w:hint="eastAsia" w:ascii="宋体" w:hAnsi="宋体" w:cs="宋体"/>
                <w:color w:val="auto"/>
                <w:kern w:val="0"/>
                <w:szCs w:val="21"/>
                <w:highlight w:val="none"/>
                <w:lang w:val="zh-CN"/>
              </w:rPr>
              <w:t>代表人</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right="105" w:rightChars="50"/>
              <w:rPr>
                <w:rFonts w:ascii="宋体" w:cs="宋体"/>
                <w:color w:val="auto"/>
                <w:kern w:val="0"/>
                <w:szCs w:val="21"/>
                <w:highlight w:val="none"/>
              </w:rPr>
            </w:pPr>
            <w:r>
              <w:rPr>
                <w:rFonts w:hint="eastAsia" w:ascii="宋体" w:hAnsi="宋体" w:cs="宋体"/>
                <w:color w:val="auto"/>
                <w:kern w:val="0"/>
                <w:szCs w:val="21"/>
                <w:highlight w:val="none"/>
                <w:lang w:val="zh-CN"/>
              </w:rPr>
              <w:t>电话：</w:t>
            </w:r>
          </w:p>
        </w:tc>
        <w:tc>
          <w:tcPr>
            <w:tcW w:w="4940" w:type="dxa"/>
            <w:tcBorders>
              <w:top w:val="nil"/>
              <w:left w:val="nil"/>
              <w:bottom w:val="nil"/>
              <w:right w:val="nil"/>
            </w:tcBorders>
          </w:tcPr>
          <w:p>
            <w:pPr>
              <w:adjustRightInd w:val="0"/>
              <w:spacing w:line="380" w:lineRule="exact"/>
              <w:rPr>
                <w:rFonts w:ascii="宋体" w:cs="宋体"/>
                <w:color w:val="auto"/>
                <w:kern w:val="0"/>
                <w:szCs w:val="21"/>
                <w:highlight w:val="none"/>
              </w:rPr>
            </w:pPr>
            <w:r>
              <w:rPr>
                <w:rFonts w:hint="eastAsia" w:ascii="宋体" w:hAnsi="宋体" w:cs="宋体"/>
                <w:color w:val="auto"/>
                <w:kern w:val="0"/>
                <w:szCs w:val="21"/>
                <w:highlight w:val="none"/>
                <w:lang w:val="zh-CN"/>
              </w:rPr>
              <w:t>电话：</w:t>
            </w:r>
          </w:p>
        </w:tc>
      </w:tr>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right="105" w:rightChars="50"/>
              <w:rPr>
                <w:rFonts w:ascii="宋体" w:cs="宋体"/>
                <w:color w:val="auto"/>
                <w:kern w:val="0"/>
                <w:szCs w:val="21"/>
                <w:highlight w:val="none"/>
              </w:rPr>
            </w:pPr>
            <w:r>
              <w:rPr>
                <w:rFonts w:hint="eastAsia" w:ascii="宋体" w:hAnsi="宋体" w:cs="宋体"/>
                <w:color w:val="auto"/>
                <w:kern w:val="0"/>
                <w:szCs w:val="21"/>
                <w:highlight w:val="none"/>
                <w:lang w:val="zh-CN"/>
              </w:rPr>
              <w:t>开户银行：</w:t>
            </w:r>
          </w:p>
        </w:tc>
        <w:tc>
          <w:tcPr>
            <w:tcW w:w="4940" w:type="dxa"/>
            <w:tcBorders>
              <w:top w:val="nil"/>
              <w:left w:val="nil"/>
              <w:bottom w:val="nil"/>
              <w:right w:val="nil"/>
            </w:tcBorders>
          </w:tcPr>
          <w:p>
            <w:pPr>
              <w:adjustRightInd w:val="0"/>
              <w:spacing w:line="380" w:lineRule="exact"/>
              <w:rPr>
                <w:rFonts w:ascii="宋体" w:cs="宋体"/>
                <w:color w:val="auto"/>
                <w:kern w:val="0"/>
                <w:szCs w:val="21"/>
                <w:highlight w:val="none"/>
              </w:rPr>
            </w:pPr>
            <w:r>
              <w:rPr>
                <w:rFonts w:hint="eastAsia" w:ascii="宋体" w:hAnsi="宋体" w:cs="宋体"/>
                <w:color w:val="auto"/>
                <w:kern w:val="0"/>
                <w:szCs w:val="21"/>
                <w:highlight w:val="none"/>
                <w:lang w:val="zh-CN"/>
              </w:rPr>
              <w:t xml:space="preserve">开户银行： </w:t>
            </w:r>
          </w:p>
        </w:tc>
      </w:tr>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right="105" w:rightChars="50"/>
              <w:rPr>
                <w:rFonts w:ascii="宋体" w:cs="宋体"/>
                <w:color w:val="auto"/>
                <w:kern w:val="0"/>
                <w:szCs w:val="21"/>
                <w:highlight w:val="none"/>
              </w:rPr>
            </w:pPr>
            <w:r>
              <w:rPr>
                <w:rFonts w:hint="eastAsia" w:ascii="宋体" w:hAnsi="宋体" w:cs="宋体"/>
                <w:color w:val="auto"/>
                <w:kern w:val="0"/>
                <w:szCs w:val="21"/>
                <w:highlight w:val="none"/>
                <w:lang w:val="zh-CN"/>
              </w:rPr>
              <w:t>账号：</w:t>
            </w:r>
          </w:p>
        </w:tc>
        <w:tc>
          <w:tcPr>
            <w:tcW w:w="4940" w:type="dxa"/>
            <w:tcBorders>
              <w:top w:val="nil"/>
              <w:left w:val="nil"/>
              <w:bottom w:val="nil"/>
              <w:right w:val="nil"/>
            </w:tcBorders>
          </w:tcPr>
          <w:p>
            <w:pPr>
              <w:adjustRightInd w:val="0"/>
              <w:spacing w:line="380" w:lineRule="exact"/>
              <w:rPr>
                <w:rFonts w:ascii="宋体" w:cs="宋体"/>
                <w:color w:val="auto"/>
                <w:kern w:val="0"/>
                <w:szCs w:val="21"/>
                <w:highlight w:val="none"/>
                <w:lang w:val="zh-CN"/>
              </w:rPr>
            </w:pPr>
            <w:r>
              <w:rPr>
                <w:rFonts w:hint="eastAsia" w:ascii="宋体" w:hAnsi="宋体" w:cs="宋体"/>
                <w:color w:val="auto"/>
                <w:kern w:val="0"/>
                <w:szCs w:val="21"/>
                <w:highlight w:val="none"/>
                <w:lang w:val="zh-CN"/>
              </w:rPr>
              <w:t>账号：</w:t>
            </w:r>
          </w:p>
          <w:p>
            <w:pPr>
              <w:adjustRightInd w:val="0"/>
              <w:spacing w:line="380" w:lineRule="exact"/>
              <w:rPr>
                <w:rFonts w:ascii="宋体" w:cs="宋体"/>
                <w:color w:val="auto"/>
                <w:kern w:val="0"/>
                <w:szCs w:val="21"/>
                <w:highlight w:val="none"/>
                <w:lang w:val="zh-CN"/>
              </w:rPr>
            </w:pPr>
          </w:p>
        </w:tc>
      </w:tr>
    </w:tbl>
    <w:p>
      <w:pPr>
        <w:ind w:firstLine="562" w:firstLineChars="200"/>
        <w:rPr>
          <w:rFonts w:ascii="宋体" w:hAnsi="宋体" w:cs="宋体"/>
          <w:b/>
          <w:bCs/>
          <w:color w:val="auto"/>
          <w:sz w:val="28"/>
          <w:szCs w:val="28"/>
          <w:highlight w:val="none"/>
        </w:rPr>
      </w:pPr>
    </w:p>
    <w:p>
      <w:pPr>
        <w:pStyle w:val="71"/>
        <w:rPr>
          <w:color w:val="auto"/>
          <w:highlight w:val="none"/>
        </w:rPr>
      </w:pPr>
    </w:p>
    <w:p>
      <w:pPr>
        <w:ind w:firstLine="420" w:firstLineChars="200"/>
        <w:rPr>
          <w:color w:val="auto"/>
          <w:highlight w:val="none"/>
        </w:rPr>
      </w:pPr>
    </w:p>
    <w:p>
      <w:pPr>
        <w:adjustRightInd w:val="0"/>
        <w:snapToGrid w:val="0"/>
        <w:spacing w:line="460" w:lineRule="exact"/>
        <w:ind w:firstLine="560" w:firstLineChars="200"/>
        <w:rPr>
          <w:rFonts w:ascii="宋体" w:hAnsi="宋体" w:cs="宋体"/>
          <w:color w:val="auto"/>
          <w:sz w:val="28"/>
          <w:szCs w:val="28"/>
          <w:highlight w:val="none"/>
        </w:rPr>
      </w:pPr>
    </w:p>
    <w:p>
      <w:pPr>
        <w:spacing w:line="500" w:lineRule="exact"/>
        <w:contextualSpacing/>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第四部分  开标和评标</w:t>
      </w:r>
    </w:p>
    <w:p>
      <w:pPr>
        <w:pStyle w:val="88"/>
        <w:snapToGrid w:val="0"/>
        <w:spacing w:before="0" w:after="0" w:line="42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一、开标</w:t>
      </w:r>
    </w:p>
    <w:p>
      <w:pPr>
        <w:tabs>
          <w:tab w:val="left" w:pos="3585"/>
        </w:tabs>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见面开标模式：投标人在指定地点参加开标会。</w:t>
      </w:r>
    </w:p>
    <w:p>
      <w:pPr>
        <w:pStyle w:val="88"/>
        <w:snapToGrid w:val="0"/>
        <w:spacing w:before="0" w:after="0" w:line="42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二、评标流程和评标标准</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采用综合评分法。分资格审查、商务技术文件、价格文件、三部分评审，总分值为100分，加分和减分因素除外。</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首先由招标人对投标人资格进行审查，然后评标委员会对符合资格的投标人的投标文件进行符合性审查，最后评标委员会对符合性审查合格的投标文件商务、技术部分进行评估，综合比较与评价。待商务技术文件评审结束后，进行价格文件的开启、评审。投标人商务、技术部分和价格部分的合计分值，为该投标人的评标总得分。</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评委在认真审阅投标文件的基础上，根据各投标文件的响应程度独立评判，不得统一打分。</w:t>
      </w:r>
    </w:p>
    <w:p>
      <w:pPr>
        <w:adjustRightInd w:val="0"/>
        <w:snapToGrid w:val="0"/>
        <w:spacing w:line="42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（一）招标人（代表）对投标人资格进行审查。</w:t>
      </w:r>
    </w:p>
    <w:p>
      <w:pPr>
        <w:pStyle w:val="92"/>
        <w:adjustRightInd w:val="0"/>
        <w:snapToGrid w:val="0"/>
        <w:spacing w:line="420" w:lineRule="exact"/>
        <w:ind w:firstLine="560" w:firstLineChars="200"/>
        <w:rPr>
          <w:rFonts w:ascii="宋体" w:eastAsia="宋体" w:cs="宋体"/>
          <w:color w:val="auto"/>
          <w:sz w:val="28"/>
          <w:highlight w:val="none"/>
        </w:rPr>
      </w:pPr>
      <w:r>
        <w:rPr>
          <w:rFonts w:hint="eastAsia" w:ascii="宋体" w:eastAsia="宋体" w:cs="宋体"/>
          <w:color w:val="auto"/>
          <w:sz w:val="28"/>
          <w:highlight w:val="none"/>
        </w:rPr>
        <w:t>投标人资格不合格的，其投标文件判定为无效投标文件。</w:t>
      </w:r>
    </w:p>
    <w:p>
      <w:pPr>
        <w:adjustRightInd w:val="0"/>
        <w:snapToGrid w:val="0"/>
        <w:spacing w:line="42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（二）评标委员会对符合资格投标人的投标文件进行符合性审查。</w:t>
      </w:r>
    </w:p>
    <w:p>
      <w:pPr>
        <w:pStyle w:val="92"/>
        <w:adjustRightInd w:val="0"/>
        <w:snapToGrid w:val="0"/>
        <w:spacing w:line="420" w:lineRule="exact"/>
        <w:ind w:firstLine="560" w:firstLineChars="200"/>
        <w:rPr>
          <w:rFonts w:ascii="宋体" w:eastAsia="宋体" w:cs="宋体"/>
          <w:color w:val="auto"/>
          <w:sz w:val="28"/>
          <w:highlight w:val="none"/>
        </w:rPr>
      </w:pPr>
      <w:r>
        <w:rPr>
          <w:rFonts w:hint="eastAsia" w:ascii="宋体" w:eastAsia="宋体" w:cs="宋体"/>
          <w:color w:val="auto"/>
          <w:sz w:val="28"/>
          <w:highlight w:val="none"/>
        </w:rPr>
        <w:t xml:space="preserve">未通过符合性审查的投标文件，将被判为不满足招标文件实质性要求。 </w:t>
      </w:r>
    </w:p>
    <w:p>
      <w:pPr>
        <w:adjustRightInd w:val="0"/>
        <w:snapToGrid w:val="0"/>
        <w:spacing w:line="420" w:lineRule="exact"/>
        <w:ind w:firstLine="562" w:firstLineChars="200"/>
        <w:jc w:val="left"/>
        <w:rPr>
          <w:rFonts w:ascii="宋体" w:hAnsi="宋体" w:cs="宋体"/>
          <w:color w:val="auto"/>
          <w:kern w:val="0"/>
          <w:sz w:val="28"/>
          <w:szCs w:val="28"/>
          <w:highlight w:val="none"/>
          <w:lang w:bidi="ar"/>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zh-CN"/>
        </w:rPr>
        <w:t>三</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zh-CN"/>
        </w:rPr>
        <w:t>商务技术分</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val="en-US" w:eastAsia="zh-CN" w:bidi="ar"/>
        </w:rPr>
        <w:t>6</w:t>
      </w:r>
      <w:r>
        <w:rPr>
          <w:rFonts w:hint="eastAsia" w:ascii="宋体" w:hAnsi="宋体" w:cs="宋体"/>
          <w:color w:val="auto"/>
          <w:kern w:val="0"/>
          <w:sz w:val="28"/>
          <w:szCs w:val="28"/>
          <w:highlight w:val="none"/>
          <w:lang w:bidi="ar"/>
        </w:rPr>
        <w:t>0分</w:t>
      </w:r>
    </w:p>
    <w:p>
      <w:pPr>
        <w:autoSpaceDE w:val="0"/>
        <w:autoSpaceDN w:val="0"/>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各投标人得分为评委会成员评分的算术平均分，分值保留小数点后两位。</w:t>
      </w:r>
    </w:p>
    <w:tbl>
      <w:tblPr>
        <w:tblStyle w:val="37"/>
        <w:tblW w:w="4998" w:type="pct"/>
        <w:jc w:val="center"/>
        <w:tblLayout w:type="fixed"/>
        <w:tblCellMar>
          <w:top w:w="0" w:type="dxa"/>
          <w:left w:w="108" w:type="dxa"/>
          <w:bottom w:w="0" w:type="dxa"/>
          <w:right w:w="108" w:type="dxa"/>
        </w:tblCellMar>
      </w:tblPr>
      <w:tblGrid>
        <w:gridCol w:w="710"/>
        <w:gridCol w:w="1320"/>
        <w:gridCol w:w="810"/>
        <w:gridCol w:w="5685"/>
      </w:tblGrid>
      <w:tr>
        <w:tblPrEx>
          <w:tblCellMar>
            <w:top w:w="0" w:type="dxa"/>
            <w:left w:w="108" w:type="dxa"/>
            <w:bottom w:w="0" w:type="dxa"/>
            <w:right w:w="108" w:type="dxa"/>
          </w:tblCellMar>
        </w:tblPrEx>
        <w:trPr>
          <w:trHeight w:val="757" w:hRule="atLeast"/>
          <w:jc w:val="center"/>
        </w:trPr>
        <w:tc>
          <w:tcPr>
            <w:tcW w:w="416"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60" w:lineRule="exact"/>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74"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60" w:lineRule="exact"/>
              <w:ind w:left="0" w:right="0" w:firstLine="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评审项目</w:t>
            </w:r>
          </w:p>
        </w:tc>
        <w:tc>
          <w:tcPr>
            <w:tcW w:w="475"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60" w:lineRule="exact"/>
              <w:ind w:left="0" w:right="0" w:firstLine="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分数</w:t>
            </w:r>
          </w:p>
        </w:tc>
        <w:tc>
          <w:tcPr>
            <w:tcW w:w="3334"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60" w:lineRule="exact"/>
              <w:ind w:left="0" w:right="0" w:firstLine="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6" w:type="pct"/>
            <w:vMerge w:val="restar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74" w:type="pct"/>
            <w:vMerge w:val="restar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w:t>
            </w:r>
            <w:r>
              <w:rPr>
                <w:rFonts w:hint="eastAsia" w:ascii="宋体" w:hAnsi="宋体" w:eastAsia="宋体" w:cs="宋体"/>
                <w:color w:val="auto"/>
                <w:sz w:val="24"/>
                <w:szCs w:val="24"/>
                <w:highlight w:val="none"/>
              </w:rPr>
              <w:t>参数</w:t>
            </w:r>
          </w:p>
        </w:tc>
        <w:tc>
          <w:tcPr>
            <w:tcW w:w="475" w:type="pct"/>
            <w:vMerge w:val="restart"/>
            <w:vAlign w:val="center"/>
          </w:tcPr>
          <w:p>
            <w:pPr>
              <w:keepNext w:val="0"/>
              <w:keepLines w:val="0"/>
              <w:pageBreakBefore w:val="0"/>
              <w:kinsoku/>
              <w:wordWrap/>
              <w:overflowPunct/>
              <w:topLinePunct w:val="0"/>
              <w:bidi w:val="0"/>
              <w:spacing w:line="46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334" w:type="pct"/>
            <w:vAlign w:val="center"/>
          </w:tcPr>
          <w:p>
            <w:pPr>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（1）所投电梯的技术参数完全满足招标文件采购需求及技术性能参数（室内扶梯技术要求）的得6分；每一项负偏离扣2分，扣完为止，偏离4项及以上作为废标处理。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6"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774"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p>
        </w:tc>
        <w:tc>
          <w:tcPr>
            <w:tcW w:w="475" w:type="pct"/>
            <w:vMerge w:val="continue"/>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3334" w:type="pct"/>
            <w:vAlign w:val="center"/>
          </w:tcPr>
          <w:p>
            <w:pPr>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（2）所投电梯的安全功能完全满足招标文件采购需求及技术性能参数（室内扶梯安全功能要求）的得3分；每一项负偏离扣1分，扣完为止，偏离4项及以上作为废标处理。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16"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774"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p>
        </w:tc>
        <w:tc>
          <w:tcPr>
            <w:tcW w:w="475" w:type="pct"/>
            <w:vMerge w:val="continue"/>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3334" w:type="pct"/>
            <w:vAlign w:val="center"/>
          </w:tcPr>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）主机及控制系统IP防护等级（满分</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IP防护等级≥55得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分，IP防护等级≥43得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分，IP防护等级≥32得1分。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16"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774"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p>
        </w:tc>
        <w:tc>
          <w:tcPr>
            <w:tcW w:w="475" w:type="pct"/>
            <w:vMerge w:val="continue"/>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3334" w:type="pct"/>
            <w:vAlign w:val="center"/>
          </w:tcPr>
          <w:p>
            <w:pPr>
              <w:pStyle w:val="85"/>
              <w:keepNext w:val="0"/>
              <w:keepLines w:val="0"/>
              <w:pageBreakBefore w:val="0"/>
              <w:kinsoku/>
              <w:wordWrap/>
              <w:overflowPunct/>
              <w:topLinePunct w:val="0"/>
              <w:bidi w:val="0"/>
              <w:spacing w:line="460" w:lineRule="exact"/>
              <w:ind w:left="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）梯级静载破断力，梯级的破断载荷达到26KN得2分，破断载荷达到20KN得1分。需提供CNAS权威机构证明文件；不提供不得分）。</w:t>
            </w:r>
            <w:r>
              <w:rPr>
                <w:rFonts w:hint="eastAsia" w:ascii="宋体" w:hAnsi="宋体" w:eastAsia="宋体" w:cs="宋体"/>
                <w:color w:val="auto"/>
                <w:sz w:val="24"/>
                <w:szCs w:val="24"/>
                <w:highlight w:val="none"/>
                <w:lang w:eastAsia="zh-CN"/>
              </w:rPr>
              <w:t>（满分</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16"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774"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p>
        </w:tc>
        <w:tc>
          <w:tcPr>
            <w:tcW w:w="475" w:type="pct"/>
            <w:vMerge w:val="continue"/>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3334" w:type="pct"/>
            <w:vAlign w:val="center"/>
          </w:tcPr>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）投标扶梯驱动主机电机能效等级达到国内标准能效一级、二级、三级，最高一级得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分，第二得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分，第三得1分，其他不得分，（提供所投电梯制造厂家委托的第三方监测机构提供的证明材料且制造商单位加盖公章，且监测机构需具有CMA和CNAS认证，否则不得分）。</w:t>
            </w:r>
            <w:r>
              <w:rPr>
                <w:rFonts w:hint="eastAsia" w:ascii="宋体" w:hAnsi="宋体" w:eastAsia="宋体" w:cs="宋体"/>
                <w:color w:val="auto"/>
                <w:kern w:val="0"/>
                <w:sz w:val="24"/>
                <w:szCs w:val="24"/>
                <w:highlight w:val="none"/>
                <w:lang w:val="en-US" w:eastAsia="zh-CN"/>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16" w:type="pc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74" w:type="pc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施工方案</w:t>
            </w:r>
          </w:p>
        </w:tc>
        <w:tc>
          <w:tcPr>
            <w:tcW w:w="475"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334" w:type="pct"/>
            <w:vAlign w:val="center"/>
          </w:tcPr>
          <w:p>
            <w:pPr>
              <w:pStyle w:val="141"/>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根据各投标人的施工组织机构配备、施工组织部署、施</w:t>
            </w:r>
            <w:r>
              <w:rPr>
                <w:rFonts w:hint="eastAsia" w:ascii="宋体" w:hAnsi="宋体" w:eastAsia="宋体" w:cs="宋体"/>
                <w:color w:val="auto"/>
                <w:spacing w:val="-1"/>
                <w:sz w:val="24"/>
                <w:szCs w:val="24"/>
                <w:highlight w:val="none"/>
                <w:lang w:eastAsia="zh-CN"/>
              </w:rPr>
              <w:t>工进度</w:t>
            </w:r>
            <w:r>
              <w:rPr>
                <w:rFonts w:hint="eastAsia" w:ascii="宋体" w:hAnsi="宋体" w:eastAsia="宋体" w:cs="宋体"/>
                <w:color w:val="auto"/>
                <w:sz w:val="24"/>
                <w:szCs w:val="24"/>
                <w:highlight w:val="none"/>
                <w:lang w:eastAsia="zh-CN"/>
              </w:rPr>
              <w:t xml:space="preserve"> 计划、施工技术措施、施工质量保证措施和目标、系统</w:t>
            </w:r>
            <w:r>
              <w:rPr>
                <w:rFonts w:hint="eastAsia" w:ascii="宋体" w:hAnsi="宋体" w:eastAsia="宋体" w:cs="宋体"/>
                <w:color w:val="auto"/>
                <w:spacing w:val="-1"/>
                <w:sz w:val="24"/>
                <w:szCs w:val="24"/>
                <w:highlight w:val="none"/>
                <w:lang w:eastAsia="zh-CN"/>
              </w:rPr>
              <w:t>安装规</w:t>
            </w:r>
            <w:r>
              <w:rPr>
                <w:rFonts w:hint="eastAsia" w:ascii="宋体" w:hAnsi="宋体" w:eastAsia="宋体" w:cs="宋体"/>
                <w:color w:val="auto"/>
                <w:sz w:val="24"/>
                <w:szCs w:val="24"/>
                <w:highlight w:val="none"/>
                <w:lang w:eastAsia="zh-CN"/>
              </w:rPr>
              <w:t xml:space="preserve"> 范、文明施工和安全措施、施工的主要机具设备配置、</w:t>
            </w:r>
            <w:r>
              <w:rPr>
                <w:rFonts w:hint="eastAsia" w:ascii="宋体" w:hAnsi="宋体" w:eastAsia="宋体" w:cs="宋体"/>
                <w:color w:val="auto"/>
                <w:spacing w:val="-1"/>
                <w:sz w:val="24"/>
                <w:szCs w:val="24"/>
                <w:highlight w:val="none"/>
                <w:lang w:eastAsia="zh-CN"/>
              </w:rPr>
              <w:t>适用情</w:t>
            </w:r>
            <w:r>
              <w:rPr>
                <w:rFonts w:hint="eastAsia" w:ascii="宋体" w:hAnsi="宋体" w:eastAsia="宋体" w:cs="宋体"/>
                <w:color w:val="auto"/>
                <w:sz w:val="24"/>
                <w:szCs w:val="24"/>
                <w:highlight w:val="none"/>
                <w:lang w:eastAsia="zh-CN"/>
              </w:rPr>
              <w:t xml:space="preserve"> 况、关键施工设备的当前备有情况等、重点部位的施工工艺和要领等进行评分。（满分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（1）施工组织机构配备、施工组织部署：</w:t>
            </w:r>
            <w:r>
              <w:rPr>
                <w:rFonts w:hint="eastAsia" w:ascii="宋体" w:hAnsi="宋体" w:eastAsia="宋体" w:cs="宋体"/>
                <w:color w:val="auto"/>
                <w:sz w:val="24"/>
                <w:szCs w:val="24"/>
                <w:highlight w:val="none"/>
                <w:lang w:val="en-US" w:eastAsia="zh-CN"/>
              </w:rPr>
              <w:t>机械配备、施工组织部署合理且完善可操作性强得2分；机械配备、施工组织部署较为合理完善可操作性较强得1分；机械配备、施工组织部署基本合理但有所欠缺可操作性一般本项不得分。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（2）施工进度计划：</w:t>
            </w:r>
            <w:r>
              <w:rPr>
                <w:rFonts w:hint="eastAsia" w:ascii="宋体" w:hAnsi="宋体" w:eastAsia="宋体" w:cs="宋体"/>
                <w:color w:val="auto"/>
                <w:sz w:val="24"/>
                <w:szCs w:val="24"/>
                <w:highlight w:val="none"/>
                <w:lang w:val="en-US" w:eastAsia="zh-CN"/>
              </w:rPr>
              <w:t>施工进度计划编制合理能完全满足项目需求得2分；施工进度计划编制较为合理可以满足项目需求得1分；施工进度计划编制合理性一般，较难满足项目需求本项不得分。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（3）施工技术措施、施工质量保证措施和目标：</w:t>
            </w:r>
            <w:r>
              <w:rPr>
                <w:rFonts w:hint="eastAsia" w:ascii="宋体" w:hAnsi="宋体" w:eastAsia="宋体" w:cs="宋体"/>
                <w:color w:val="auto"/>
                <w:sz w:val="24"/>
                <w:szCs w:val="24"/>
                <w:highlight w:val="none"/>
                <w:lang w:val="en-US" w:eastAsia="zh-CN"/>
              </w:rPr>
              <w:t xml:space="preserve">技术措施及质量保证措施可操作性强得2分；技术措施及质量保证措施可操作性较强得1分；技术措施及质量保证措施可操作性一般本项不得分。 </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（4）系统安装规范、文明施工和安全措施：</w:t>
            </w:r>
            <w:r>
              <w:rPr>
                <w:rFonts w:hint="eastAsia" w:ascii="宋体" w:hAnsi="宋体" w:eastAsia="宋体" w:cs="宋体"/>
                <w:color w:val="auto"/>
                <w:sz w:val="24"/>
                <w:szCs w:val="24"/>
                <w:highlight w:val="none"/>
                <w:lang w:val="en-US" w:eastAsia="zh-CN"/>
              </w:rPr>
              <w:t>方案措施规范且得当得2分；方案措施较为规范得当得1分；方案措施规范性一般本项不得分。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（5）施工的主要机具设备配置、适用情况、关键施工设备的当前备有情况</w:t>
            </w:r>
            <w:r>
              <w:rPr>
                <w:rFonts w:hint="eastAsia" w:ascii="宋体" w:hAnsi="宋体" w:eastAsia="宋体" w:cs="宋体"/>
                <w:color w:val="auto"/>
                <w:sz w:val="24"/>
                <w:szCs w:val="24"/>
                <w:highlight w:val="none"/>
                <w:lang w:val="en-US" w:eastAsia="zh-CN"/>
              </w:rPr>
              <w:t>进行横向对比打分：设备种类齐全完全满足项目需求得2分；设备种类较为齐全基本满足项目需求得1分；设备种类有所欠缺难以满足项目需求本项不得分。</w:t>
            </w:r>
          </w:p>
          <w:p>
            <w:pPr>
              <w:pStyle w:val="141"/>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（6）重点部位的施工工艺和要领：</w:t>
            </w:r>
            <w:r>
              <w:rPr>
                <w:rFonts w:hint="eastAsia" w:ascii="宋体" w:hAnsi="宋体" w:eastAsia="宋体" w:cs="宋体"/>
                <w:color w:val="auto"/>
                <w:sz w:val="24"/>
                <w:szCs w:val="24"/>
                <w:highlight w:val="none"/>
                <w:lang w:val="en-US" w:eastAsia="zh-CN"/>
              </w:rPr>
              <w:t>重点部位阐述完整清晰施工工艺可操作性强得2分；重点部位阐述较为完整施工工艺可操作性较强得1分；重点部位阐述模糊施工工艺可操作性一般本项不得分。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吊装方案：供应商根据现场实际勘察情况，编写本项目吊装方案。吊装方案贴合本项目实际情况且可操作性强能够完全响应项目需求得3分；吊装方案基本贴合本项目实际情况且可操作性较强能够响应项目需求得2分；吊装方案与本项目实际情况偏离、可操作性一般难以响应项目需求得1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6"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774"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475" w:type="pc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334" w:type="pct"/>
            <w:vAlign w:val="center"/>
          </w:tcPr>
          <w:p>
            <w:pPr>
              <w:pStyle w:val="141"/>
              <w:keepNext w:val="0"/>
              <w:keepLines w:val="0"/>
              <w:pageBreakBefore w:val="0"/>
              <w:kinsoku/>
              <w:wordWrap/>
              <w:overflowPunct/>
              <w:topLinePunct w:val="0"/>
              <w:bidi w:val="0"/>
              <w:spacing w:line="460" w:lineRule="exact"/>
              <w:ind w:left="0" w:right="0" w:firstLine="0"/>
              <w:jc w:val="both"/>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（1）本项目最低质保期限为</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年，在此基础上投标人质保期每增加一年的得</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 xml:space="preserve"> 分，本条最高得</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lang w:eastAsia="zh-CN"/>
              </w:rPr>
              <w:t>分（需提供承诺书且加盖投标人公章，格式自拟，</w:t>
            </w:r>
            <w:r>
              <w:rPr>
                <w:rFonts w:hint="eastAsia" w:ascii="宋体" w:hAnsi="宋体" w:eastAsia="宋体" w:cs="宋体"/>
                <w:color w:val="auto"/>
                <w:spacing w:val="-2"/>
                <w:sz w:val="24"/>
                <w:szCs w:val="24"/>
                <w:highlight w:val="none"/>
                <w:lang w:val="en-US" w:eastAsia="zh-CN"/>
              </w:rPr>
              <w:t>若不满三年按无效标处理</w:t>
            </w:r>
            <w:r>
              <w:rPr>
                <w:rFonts w:hint="eastAsia" w:ascii="宋体" w:hAnsi="宋体" w:eastAsia="宋体" w:cs="宋体"/>
                <w:color w:val="auto"/>
                <w:spacing w:val="-2"/>
                <w:sz w:val="24"/>
                <w:szCs w:val="24"/>
                <w:highlight w:val="none"/>
                <w:lang w:eastAsia="zh-CN"/>
              </w:rPr>
              <w:t>）；</w:t>
            </w:r>
          </w:p>
          <w:p>
            <w:pPr>
              <w:pStyle w:val="141"/>
              <w:keepNext w:val="0"/>
              <w:keepLines w:val="0"/>
              <w:pageBreakBefore w:val="0"/>
              <w:kinsoku/>
              <w:wordWrap/>
              <w:overflowPunct/>
              <w:topLinePunct w:val="0"/>
              <w:bidi w:val="0"/>
              <w:spacing w:line="460" w:lineRule="exact"/>
              <w:ind w:left="0" w:right="0" w:firstLine="0"/>
              <w:jc w:val="both"/>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eastAsia="zh-CN"/>
              </w:rPr>
              <w:t>)提供备品备件（主机、控制柜等）报价明细表（格式自拟，包含备品备件名称、规格、单价等信息），供应商质保期后5年内提供备品备件价格不得高于本次报价明细表的价格，评委根据备品备件种类、数量综合评定打分：备品备件种类、规格齐全、价格优惠得</w:t>
            </w:r>
            <w:r>
              <w:rPr>
                <w:rFonts w:hint="eastAsia" w:ascii="宋体" w:hAnsi="宋体" w:eastAsia="宋体" w:cs="宋体"/>
                <w:color w:val="auto"/>
                <w:spacing w:val="-2"/>
                <w:sz w:val="24"/>
                <w:szCs w:val="24"/>
                <w:highlight w:val="none"/>
                <w:lang w:val="en-US" w:eastAsia="zh-CN"/>
              </w:rPr>
              <w:t>3分;</w:t>
            </w:r>
            <w:r>
              <w:rPr>
                <w:rFonts w:hint="eastAsia" w:ascii="宋体" w:hAnsi="宋体" w:eastAsia="宋体" w:cs="宋体"/>
                <w:color w:val="auto"/>
                <w:spacing w:val="-2"/>
                <w:sz w:val="24"/>
                <w:szCs w:val="24"/>
                <w:highlight w:val="none"/>
                <w:lang w:eastAsia="zh-CN"/>
              </w:rPr>
              <w:t>备品备件种类、规格相对齐全、价格比较优惠得</w:t>
            </w:r>
            <w:r>
              <w:rPr>
                <w:rFonts w:hint="eastAsia" w:ascii="宋体" w:hAnsi="宋体" w:eastAsia="宋体" w:cs="宋体"/>
                <w:color w:val="auto"/>
                <w:spacing w:val="-2"/>
                <w:sz w:val="24"/>
                <w:szCs w:val="24"/>
                <w:highlight w:val="none"/>
                <w:lang w:val="en-US" w:eastAsia="zh-CN"/>
              </w:rPr>
              <w:t>2分;</w:t>
            </w:r>
            <w:r>
              <w:rPr>
                <w:rFonts w:hint="eastAsia" w:ascii="宋体" w:hAnsi="宋体" w:eastAsia="宋体" w:cs="宋体"/>
                <w:color w:val="auto"/>
                <w:spacing w:val="-2"/>
                <w:sz w:val="24"/>
                <w:szCs w:val="24"/>
                <w:highlight w:val="none"/>
                <w:lang w:eastAsia="zh-CN"/>
              </w:rPr>
              <w:t>备品备件种类、规格少、价格偏高得</w:t>
            </w:r>
            <w:r>
              <w:rPr>
                <w:rFonts w:hint="eastAsia" w:ascii="宋体" w:hAnsi="宋体" w:eastAsia="宋体" w:cs="宋体"/>
                <w:color w:val="auto"/>
                <w:spacing w:val="-2"/>
                <w:sz w:val="24"/>
                <w:szCs w:val="24"/>
                <w:highlight w:val="none"/>
                <w:lang w:val="en-US" w:eastAsia="zh-CN"/>
              </w:rPr>
              <w:t>1分，未提供不得分。</w:t>
            </w:r>
          </w:p>
          <w:p>
            <w:pPr>
              <w:pStyle w:val="141"/>
              <w:keepNext w:val="0"/>
              <w:keepLines w:val="0"/>
              <w:pageBreakBefore w:val="0"/>
              <w:kinsoku/>
              <w:wordWrap/>
              <w:overflowPunct/>
              <w:topLinePunct w:val="0"/>
              <w:bidi w:val="0"/>
              <w:spacing w:line="460" w:lineRule="exact"/>
              <w:ind w:left="0" w:right="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lang w:eastAsia="zh-CN"/>
              </w:rPr>
              <w:t>）电梯维保服务方案及措施</w:t>
            </w:r>
            <w:r>
              <w:rPr>
                <w:rFonts w:hint="eastAsia" w:ascii="宋体" w:hAnsi="宋体" w:eastAsia="宋体" w:cs="宋体"/>
                <w:color w:val="auto"/>
                <w:sz w:val="24"/>
                <w:szCs w:val="24"/>
                <w:highlight w:val="none"/>
                <w:lang w:eastAsia="zh-CN"/>
              </w:rPr>
              <w:t>（满</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5分）：</w:t>
            </w:r>
          </w:p>
          <w:p>
            <w:pPr>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根据各投标人的电梯</w:t>
            </w:r>
            <w:r>
              <w:rPr>
                <w:rFonts w:hint="eastAsia" w:ascii="宋体" w:hAnsi="宋体" w:cs="宋体"/>
                <w:color w:val="auto"/>
                <w:spacing w:val="-2"/>
                <w:sz w:val="24"/>
                <w:szCs w:val="24"/>
                <w:highlight w:val="none"/>
                <w:lang w:eastAsia="zh-CN"/>
              </w:rPr>
              <w:t>维保、售后</w:t>
            </w:r>
            <w:r>
              <w:rPr>
                <w:rFonts w:hint="eastAsia" w:ascii="宋体" w:hAnsi="宋体" w:eastAsia="宋体" w:cs="宋体"/>
                <w:color w:val="auto"/>
                <w:spacing w:val="-2"/>
                <w:sz w:val="24"/>
                <w:szCs w:val="24"/>
                <w:highlight w:val="none"/>
              </w:rPr>
              <w:t>方案（总体安排及规划、维保施工准备、 维保时间计划、维保工序、质保期满后主要产品及配件优惠方案等）、质量管理措施、安全事故的预防措施、应急响应方案等综合评分。</w:t>
            </w:r>
          </w:p>
          <w:p>
            <w:pPr>
              <w:pStyle w:val="141"/>
              <w:keepNext w:val="0"/>
              <w:keepLines w:val="0"/>
              <w:pageBreakBefore w:val="0"/>
              <w:kinsoku/>
              <w:wordWrap/>
              <w:overflowPunct/>
              <w:topLinePunct w:val="0"/>
              <w:bidi w:val="0"/>
              <w:spacing w:line="460" w:lineRule="exact"/>
              <w:ind w:left="0" w:right="0" w:firstLine="0"/>
              <w:jc w:val="both"/>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①电梯维保方案编制内容全面、完全匹配采购需求、措施科学合理、计划</w:t>
            </w:r>
            <w:r>
              <w:rPr>
                <w:rFonts w:hint="eastAsia" w:ascii="宋体" w:hAnsi="宋体" w:eastAsia="宋体" w:cs="宋体"/>
                <w:color w:val="auto"/>
                <w:spacing w:val="-2"/>
                <w:sz w:val="24"/>
                <w:szCs w:val="24"/>
                <w:highlight w:val="none"/>
                <w:lang w:val="en-US" w:eastAsia="zh-CN"/>
              </w:rPr>
              <w:t>有序得3分；</w:t>
            </w:r>
            <w:r>
              <w:rPr>
                <w:rFonts w:hint="eastAsia" w:ascii="宋体" w:hAnsi="宋体" w:eastAsia="宋体" w:cs="宋体"/>
                <w:color w:val="auto"/>
                <w:spacing w:val="-2"/>
                <w:sz w:val="24"/>
                <w:szCs w:val="24"/>
                <w:highlight w:val="none"/>
                <w:lang w:eastAsia="zh-CN"/>
              </w:rPr>
              <w:t>电梯维保方案编制内容较全面、基本满足采购需求、措施得当、计划较</w:t>
            </w:r>
            <w:r>
              <w:rPr>
                <w:rFonts w:hint="eastAsia" w:ascii="宋体" w:hAnsi="宋体" w:eastAsia="宋体" w:cs="宋体"/>
                <w:color w:val="auto"/>
                <w:spacing w:val="-2"/>
                <w:sz w:val="24"/>
                <w:szCs w:val="24"/>
                <w:highlight w:val="none"/>
                <w:lang w:val="en-US" w:eastAsia="zh-CN"/>
              </w:rPr>
              <w:t>合理得2分；</w:t>
            </w:r>
            <w:r>
              <w:rPr>
                <w:rFonts w:hint="eastAsia" w:ascii="宋体" w:hAnsi="宋体" w:eastAsia="宋体" w:cs="宋体"/>
                <w:color w:val="auto"/>
                <w:spacing w:val="-2"/>
                <w:sz w:val="24"/>
                <w:szCs w:val="24"/>
                <w:highlight w:val="none"/>
                <w:lang w:eastAsia="zh-CN"/>
              </w:rPr>
              <w:t>电梯维保方案编制内容简略、措施和计划没有针对性</w:t>
            </w:r>
            <w:r>
              <w:rPr>
                <w:rFonts w:hint="eastAsia" w:ascii="宋体" w:hAnsi="宋体" w:eastAsia="宋体" w:cs="宋体"/>
                <w:color w:val="auto"/>
                <w:spacing w:val="-2"/>
                <w:sz w:val="24"/>
                <w:szCs w:val="24"/>
                <w:highlight w:val="none"/>
                <w:lang w:val="en-US" w:eastAsia="zh-CN"/>
              </w:rPr>
              <w:t>得1分；未提供本项不得分。</w:t>
            </w:r>
          </w:p>
          <w:p>
            <w:pPr>
              <w:pStyle w:val="141"/>
              <w:keepNext w:val="0"/>
              <w:keepLines w:val="0"/>
              <w:pageBreakBefore w:val="0"/>
              <w:kinsoku/>
              <w:wordWrap/>
              <w:overflowPunct/>
              <w:topLinePunct w:val="0"/>
              <w:bidi w:val="0"/>
              <w:spacing w:line="460" w:lineRule="exact"/>
              <w:ind w:left="0" w:right="0" w:firstLine="0"/>
              <w:jc w:val="both"/>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②质量管理措施、安全事故的预防措施 ：</w:t>
            </w:r>
            <w:r>
              <w:rPr>
                <w:rFonts w:hint="eastAsia" w:ascii="宋体" w:hAnsi="宋体" w:eastAsia="宋体" w:cs="宋体"/>
                <w:color w:val="auto"/>
                <w:spacing w:val="-2"/>
                <w:sz w:val="24"/>
                <w:szCs w:val="24"/>
                <w:highlight w:val="none"/>
                <w:lang w:val="en-US" w:eastAsia="zh-CN"/>
              </w:rPr>
              <w:t>管理措施、预防措施完善且可操作性强得1分；管理措施、预防措施有所欠缺且可操作性一般本项不得分。</w:t>
            </w:r>
          </w:p>
          <w:p>
            <w:pPr>
              <w:pStyle w:val="141"/>
              <w:keepNext w:val="0"/>
              <w:keepLines w:val="0"/>
              <w:pageBreakBefore w:val="0"/>
              <w:kinsoku/>
              <w:wordWrap/>
              <w:overflowPunct/>
              <w:topLinePunct w:val="0"/>
              <w:bidi w:val="0"/>
              <w:spacing w:line="460" w:lineRule="exact"/>
              <w:ind w:left="0" w:right="0" w:firstLine="0"/>
              <w:jc w:val="both"/>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spacing w:val="-2"/>
                <w:sz w:val="24"/>
                <w:szCs w:val="24"/>
                <w:highlight w:val="none"/>
                <w:lang w:eastAsia="zh-CN"/>
              </w:rPr>
              <w:t>③应急响应方案：</w:t>
            </w:r>
            <w:r>
              <w:rPr>
                <w:rFonts w:hint="eastAsia" w:ascii="宋体" w:hAnsi="宋体" w:eastAsia="宋体" w:cs="宋体"/>
                <w:color w:val="auto"/>
                <w:spacing w:val="-2"/>
                <w:sz w:val="24"/>
                <w:szCs w:val="24"/>
                <w:highlight w:val="none"/>
                <w:lang w:val="en-US" w:eastAsia="zh-CN"/>
              </w:rPr>
              <w:t>应急响应方案完善且可操作性强得1分；应急响应方案有所欠缺且可操作性一般本项不得分。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16"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74"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企业资信</w:t>
            </w:r>
          </w:p>
        </w:tc>
        <w:tc>
          <w:tcPr>
            <w:tcW w:w="475" w:type="pc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334" w:type="pct"/>
            <w:vAlign w:val="center"/>
          </w:tcPr>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供应商或</w:t>
            </w:r>
            <w:r>
              <w:rPr>
                <w:rFonts w:hint="eastAsia" w:ascii="宋体" w:hAnsi="宋体" w:eastAsia="宋体" w:cs="宋体"/>
                <w:color w:val="auto"/>
                <w:sz w:val="24"/>
                <w:szCs w:val="24"/>
                <w:highlight w:val="none"/>
              </w:rPr>
              <w:t>所投品牌制造厂商</w:t>
            </w:r>
            <w:r>
              <w:rPr>
                <w:rFonts w:hint="eastAsia" w:ascii="宋体" w:hAnsi="宋体" w:eastAsia="宋体" w:cs="宋体"/>
                <w:color w:val="auto"/>
                <w:kern w:val="0"/>
                <w:sz w:val="24"/>
                <w:szCs w:val="24"/>
                <w:highlight w:val="none"/>
              </w:rPr>
              <w:t>获得质量管理体系认证证书得1分、环境管理体系认证证书得1分、职业健康安全管理体系认证证书得1分,最多得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提供证书复印件加盖公章，否则不予得分。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16"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74"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475"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334" w:type="pct"/>
            <w:vAlign w:val="center"/>
          </w:tcPr>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投标人自2020年1月1日以来（以合同签订日期为准）实施过</w:t>
            </w:r>
            <w:r>
              <w:rPr>
                <w:rFonts w:hint="eastAsia" w:ascii="宋体" w:hAnsi="宋体" w:eastAsia="宋体" w:cs="宋体"/>
                <w:color w:val="auto"/>
                <w:kern w:val="0"/>
                <w:sz w:val="24"/>
                <w:szCs w:val="24"/>
                <w:highlight w:val="none"/>
                <w:lang w:val="en-US" w:eastAsia="zh-CN"/>
              </w:rPr>
              <w:t>本次</w:t>
            </w:r>
            <w:r>
              <w:rPr>
                <w:rFonts w:hint="eastAsia" w:ascii="宋体" w:hAnsi="宋体" w:eastAsia="宋体" w:cs="宋体"/>
                <w:color w:val="auto"/>
                <w:kern w:val="0"/>
                <w:sz w:val="24"/>
                <w:szCs w:val="24"/>
                <w:highlight w:val="none"/>
              </w:rPr>
              <w:t>所投品牌扶梯的安装施工业绩，投标时提供以下证明材料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每提供一份完整材料的业绩得2分，本项最多得10分。</w:t>
            </w:r>
            <w:r>
              <w:rPr>
                <w:rFonts w:hint="eastAsia" w:ascii="宋体" w:hAnsi="宋体" w:eastAsia="宋体" w:cs="宋体"/>
                <w:color w:val="auto"/>
                <w:kern w:val="0"/>
                <w:sz w:val="24"/>
                <w:szCs w:val="24"/>
                <w:highlight w:val="none"/>
              </w:rPr>
              <w:t>未提供或提供不全均不得分。</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1、提供对应合同及扶梯项目清单（清单格式自拟加盖公章，清单中需体现用户名称、项目名称、联系人、联系号码）；</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2、对应合同提供安装扶梯监督检验报告，报告中施工单位名称需与投标人一致。</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以上证明材料复印件均需加盖供应商公章。</w:t>
            </w:r>
          </w:p>
        </w:tc>
      </w:tr>
    </w:tbl>
    <w:p>
      <w:pPr>
        <w:autoSpaceDE w:val="0"/>
        <w:autoSpaceDN w:val="0"/>
        <w:adjustRightInd w:val="0"/>
        <w:snapToGrid w:val="0"/>
        <w:spacing w:line="460" w:lineRule="exact"/>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color w:val="auto"/>
          <w:sz w:val="28"/>
          <w:szCs w:val="28"/>
          <w:highlight w:val="none"/>
          <w:lang w:val="zh-CN"/>
        </w:rPr>
        <w:t>价格分</w:t>
      </w:r>
      <w:r>
        <w:rPr>
          <w:rFonts w:hint="eastAsia" w:ascii="宋体" w:hAnsi="宋体" w:cs="宋体"/>
          <w:b/>
          <w:color w:val="auto"/>
          <w:sz w:val="28"/>
          <w:szCs w:val="28"/>
          <w:highlight w:val="none"/>
        </w:rPr>
        <w:t>：</w:t>
      </w:r>
      <w:r>
        <w:rPr>
          <w:rFonts w:hint="eastAsia" w:ascii="宋体" w:hAnsi="宋体" w:cs="宋体"/>
          <w:color w:val="auto"/>
          <w:kern w:val="0"/>
          <w:sz w:val="28"/>
          <w:szCs w:val="28"/>
          <w:highlight w:val="none"/>
          <w:lang w:val="en-US" w:eastAsia="zh-CN" w:bidi="ar"/>
        </w:rPr>
        <w:t>40</w:t>
      </w:r>
      <w:r>
        <w:rPr>
          <w:rFonts w:hint="eastAsia" w:ascii="宋体" w:hAnsi="宋体" w:cs="宋体"/>
          <w:color w:val="auto"/>
          <w:kern w:val="0"/>
          <w:sz w:val="28"/>
          <w:szCs w:val="28"/>
          <w:highlight w:val="none"/>
          <w:lang w:bidi="ar"/>
        </w:rPr>
        <w:t>分</w:t>
      </w:r>
    </w:p>
    <w:p>
      <w:pPr>
        <w:pStyle w:val="88"/>
        <w:snapToGrid w:val="0"/>
        <w:spacing w:before="0" w:after="0" w:line="460" w:lineRule="exact"/>
        <w:ind w:left="0" w:right="0" w:firstLine="560" w:firstLineChars="200"/>
        <w:jc w:val="both"/>
        <w:rPr>
          <w:rFonts w:ascii="宋体" w:hAnsi="宋体" w:cs="宋体"/>
          <w:bCs/>
          <w:color w:val="auto"/>
          <w:sz w:val="28"/>
          <w:szCs w:val="28"/>
          <w:highlight w:val="none"/>
        </w:rPr>
      </w:pPr>
      <w:r>
        <w:rPr>
          <w:rFonts w:hint="eastAsia" w:ascii="宋体" w:hAnsi="宋体" w:cs="宋体"/>
          <w:bCs/>
          <w:color w:val="auto"/>
          <w:sz w:val="28"/>
          <w:szCs w:val="28"/>
          <w:highlight w:val="none"/>
        </w:rPr>
        <w:t>价格分统一采用低价优先法计算，即满足招标文件要求且投标价格最低的投标报价为评标基准价，其价格分为满分。其他投标人的价格分统一按照下列公式计算：</w:t>
      </w:r>
    </w:p>
    <w:p>
      <w:pPr>
        <w:pStyle w:val="88"/>
        <w:snapToGrid w:val="0"/>
        <w:spacing w:before="0" w:after="0" w:line="460" w:lineRule="exact"/>
        <w:ind w:left="0" w:right="0" w:firstLine="560" w:firstLineChars="200"/>
        <w:jc w:val="both"/>
        <w:rPr>
          <w:rFonts w:ascii="宋体" w:hAnsi="宋体" w:cs="宋体"/>
          <w:bCs/>
          <w:color w:val="auto"/>
          <w:sz w:val="28"/>
          <w:szCs w:val="28"/>
          <w:highlight w:val="none"/>
        </w:rPr>
      </w:pPr>
      <w:r>
        <w:rPr>
          <w:rFonts w:hint="eastAsia" w:ascii="宋体" w:hAnsi="宋体" w:cs="宋体"/>
          <w:bCs/>
          <w:color w:val="auto"/>
          <w:sz w:val="28"/>
          <w:szCs w:val="28"/>
          <w:highlight w:val="none"/>
        </w:rPr>
        <w:t>投标报价得分=（评标基准价/投标报价）×价格权值×100</w:t>
      </w:r>
    </w:p>
    <w:p>
      <w:pPr>
        <w:adjustRightInd w:val="0"/>
        <w:snapToGrid w:val="0"/>
        <w:spacing w:line="460" w:lineRule="exact"/>
        <w:ind w:firstLine="562" w:firstLineChars="200"/>
        <w:rPr>
          <w:rFonts w:ascii="宋体" w:hAnsi="宋体" w:cs="宋体"/>
          <w:bCs/>
          <w:color w:val="auto"/>
          <w:sz w:val="28"/>
          <w:szCs w:val="28"/>
          <w:highlight w:val="none"/>
        </w:rPr>
      </w:pPr>
      <w:r>
        <w:rPr>
          <w:rFonts w:hint="eastAsia" w:ascii="宋体" w:hAnsi="宋体" w:cs="宋体"/>
          <w:b/>
          <w:color w:val="auto"/>
          <w:sz w:val="28"/>
          <w:szCs w:val="28"/>
          <w:highlight w:val="none"/>
        </w:rPr>
        <w:t>（五）中标人的确定</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评委会汇总各评委评分后，按照得分从高到低的顺序推荐三名中标候选人，并编写评标报告。</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招标人委托评标委员会直接确定排名第一的中标候选人为中标人。</w:t>
      </w:r>
    </w:p>
    <w:p>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成交供应商无故弃标，或者因其自身原因不再具备成交资格等，招标人可以按照评审委员会评审结果，按综合得分从高向低排序，由其他成交候选人递补，或重新组织采购。</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（六）招标人代表宣布评标结果。</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（七）公告中标结果</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自确定中标人之日起2个工作日内，在江苏航运职业技术学院网站公告中标结果，公告期限为1个工作日。</w:t>
      </w:r>
    </w:p>
    <w:p>
      <w:pPr>
        <w:adjustRightInd w:val="0"/>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八</w:t>
      </w: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发放中标通知书</w:t>
      </w:r>
    </w:p>
    <w:p>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公告中标结果的同时，招标人</w:t>
      </w:r>
      <w:r>
        <w:rPr>
          <w:rFonts w:hint="eastAsia" w:ascii="宋体" w:hAnsi="宋体" w:cs="宋体"/>
          <w:bCs/>
          <w:color w:val="auto"/>
          <w:sz w:val="28"/>
          <w:szCs w:val="28"/>
          <w:highlight w:val="none"/>
        </w:rPr>
        <w:t>向中标供应商发放中标通知书。</w:t>
      </w:r>
    </w:p>
    <w:p>
      <w:pPr>
        <w:adjustRightInd w:val="0"/>
        <w:snapToGrid w:val="0"/>
        <w:spacing w:line="46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中标通知书发出后，招标人不得违法改变中标结果，中标供应商无正当理由不得放弃中标。</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（九）其他</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当排名第一的中标候选人无正当理由放弃中标，被查实存在影响中标结果的违法行为等情形，招标人有权按照政府采购相关法律法规的规定对其采取惩戒措施，包含但不限于列入采购失信人黑名单等措施。</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420" w:lineRule="exact"/>
        <w:ind w:firstLine="562" w:firstLineChars="200"/>
        <w:rPr>
          <w:rFonts w:ascii="宋体" w:hAnsi="宋体" w:cs="宋体"/>
          <w:b/>
          <w:bCs/>
          <w:color w:val="auto"/>
          <w:sz w:val="28"/>
          <w:szCs w:val="28"/>
          <w:highlight w:val="none"/>
        </w:rPr>
      </w:pPr>
    </w:p>
    <w:p>
      <w:pPr>
        <w:adjustRightInd w:val="0"/>
        <w:snapToGrid w:val="0"/>
        <w:spacing w:line="420" w:lineRule="exact"/>
        <w:ind w:firstLine="643" w:firstLineChars="200"/>
        <w:jc w:val="center"/>
        <w:rPr>
          <w:rFonts w:ascii="宋体" w:hAnsi="宋体" w:cs="宋体"/>
          <w:bCs/>
          <w:color w:val="auto"/>
          <w:sz w:val="36"/>
          <w:szCs w:val="36"/>
          <w:highlight w:val="none"/>
        </w:rPr>
      </w:pPr>
      <w:r>
        <w:rPr>
          <w:rFonts w:hint="eastAsia" w:ascii="宋体" w:hAnsi="宋体" w:cs="宋体"/>
          <w:b/>
          <w:color w:val="auto"/>
          <w:sz w:val="32"/>
          <w:szCs w:val="32"/>
          <w:highlight w:val="none"/>
        </w:rPr>
        <w:br w:type="page"/>
      </w:r>
      <w:r>
        <w:rPr>
          <w:rFonts w:hint="eastAsia" w:ascii="宋体" w:hAnsi="宋体" w:cs="宋体"/>
          <w:b/>
          <w:color w:val="auto"/>
          <w:sz w:val="36"/>
          <w:szCs w:val="36"/>
          <w:highlight w:val="none"/>
        </w:rPr>
        <w:t>第五部分  投标文件组成</w:t>
      </w:r>
    </w:p>
    <w:p>
      <w:pPr>
        <w:adjustRightInd w:val="0"/>
        <w:snapToGrid w:val="0"/>
        <w:spacing w:line="4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投标文件由资格审查文件、商务技术文件、价格文件、电子响应文件四部分组成。</w:t>
      </w:r>
    </w:p>
    <w:p>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一、资格审查文件（不能出现商务技术文件、价格文件）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w:t>
      </w:r>
      <w:r>
        <w:rPr>
          <w:rFonts w:hint="eastAsia" w:ascii="宋体" w:hAnsi="宋体" w:cs="宋体"/>
          <w:color w:val="auto"/>
          <w:kern w:val="0"/>
          <w:sz w:val="28"/>
          <w:szCs w:val="28"/>
          <w:highlight w:val="none"/>
        </w:rPr>
        <w:t>符合投标人资格要求的承诺函（格式见附件1）</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2.法定代表人身份证明书（格式见附件2）；</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3.法定代表人授权委托书原件，投标代表本人身份证复印件（格式见附件3）；</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zh-CN"/>
        </w:rPr>
        <w:t>4.</w:t>
      </w:r>
      <w:r>
        <w:rPr>
          <w:rFonts w:hint="eastAsia" w:ascii="宋体" w:hAnsi="宋体" w:cs="宋体"/>
          <w:color w:val="auto"/>
          <w:kern w:val="0"/>
          <w:sz w:val="28"/>
          <w:szCs w:val="28"/>
          <w:highlight w:val="none"/>
        </w:rPr>
        <w:t>有效的营业执照副本复印件；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5.</w:t>
      </w:r>
      <w:r>
        <w:rPr>
          <w:rFonts w:hint="eastAsia" w:ascii="宋体" w:hAnsi="宋体" w:cs="宋体"/>
          <w:color w:val="auto"/>
          <w:kern w:val="0"/>
          <w:sz w:val="28"/>
          <w:szCs w:val="28"/>
          <w:highlight w:val="none"/>
          <w:lang w:val="zh-CN"/>
        </w:rPr>
        <w:t>供应商如为电梯制造厂商须具有有效期内的《中华人民共和国特种设备生产许可证》，许可项目：电梯制造（含安装、修理、改造），许可子项目：自动扶梯与自动人行道。提供相关证书复印件并加盖</w:t>
      </w:r>
      <w:r>
        <w:rPr>
          <w:rFonts w:hint="eastAsia" w:ascii="宋体" w:hAnsi="宋体" w:cs="宋体"/>
          <w:color w:val="auto"/>
          <w:kern w:val="0"/>
          <w:sz w:val="28"/>
          <w:szCs w:val="28"/>
          <w:highlight w:val="none"/>
        </w:rPr>
        <w:t>供应商</w:t>
      </w:r>
      <w:r>
        <w:rPr>
          <w:rFonts w:hint="eastAsia" w:ascii="宋体" w:hAnsi="宋体" w:cs="宋体"/>
          <w:color w:val="auto"/>
          <w:kern w:val="0"/>
          <w:sz w:val="28"/>
          <w:szCs w:val="28"/>
          <w:highlight w:val="none"/>
          <w:lang w:val="zh-CN"/>
        </w:rPr>
        <w:t>公章。</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6.供应商如为代理商，则必须提供《中华人民共和国特种设备（电梯）安装、改造、维修许可证》。提供相关证书复印件并加盖供应商公章。</w:t>
      </w:r>
    </w:p>
    <w:p>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二、商务技术文件（不能出现价格文件）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1.商务部分正负偏离表（格式见附件</w:t>
      </w: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2.技术部分正负偏离表（格式见附件</w:t>
      </w:r>
      <w:r>
        <w:rPr>
          <w:rFonts w:hint="eastAsia" w:ascii="宋体" w:hAnsi="宋体" w:cs="宋体"/>
          <w:color w:val="auto"/>
          <w:kern w:val="0"/>
          <w:sz w:val="28"/>
          <w:szCs w:val="28"/>
          <w:highlight w:val="none"/>
        </w:rPr>
        <w:t>5</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3</w:t>
      </w:r>
      <w:r>
        <w:rPr>
          <w:rFonts w:hint="eastAsia" w:ascii="宋体" w:hAnsi="宋体" w:cs="宋体"/>
          <w:color w:val="auto"/>
          <w:kern w:val="0"/>
          <w:sz w:val="28"/>
          <w:szCs w:val="28"/>
          <w:highlight w:val="none"/>
          <w:lang w:val="zh-CN"/>
        </w:rPr>
        <w:t>.为方便评委评审，请供应商按评审办法中所涉及的事项顺序进行编制，可以补充相关材料；</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评审办法中未涉及的事项，供应商认为需要提交的其他资料。</w:t>
      </w:r>
    </w:p>
    <w:p>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三、价格文件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1.开标一览表（格式见附件</w:t>
      </w:r>
      <w:r>
        <w:rPr>
          <w:rFonts w:hint="eastAsia" w:ascii="宋体" w:hAnsi="宋体" w:cs="宋体"/>
          <w:color w:val="auto"/>
          <w:kern w:val="0"/>
          <w:sz w:val="28"/>
          <w:szCs w:val="28"/>
          <w:highlight w:val="none"/>
        </w:rPr>
        <w:t>6</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2.分项报价表；</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3.供应商信用承诺书（格式见附件7）。</w:t>
      </w:r>
    </w:p>
    <w:p>
      <w:pPr>
        <w:adjustRightInd w:val="0"/>
        <w:snapToGrid w:val="0"/>
        <w:spacing w:line="46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四、电子响应文件（一份、单独密封提供）</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电子响应文件的内容为“资格审查文件、商务技术文件、价格文件”的打印盖章（或电子签章）后的响应文件的扫描件（资格审查文件、商务技术文件、价格文件需分别逐页连续扫描为三个独立的PDF文件）。</w:t>
      </w:r>
    </w:p>
    <w:p>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附件1</w:t>
      </w:r>
    </w:p>
    <w:p>
      <w:pPr>
        <w:spacing w:line="460" w:lineRule="exact"/>
        <w:jc w:val="center"/>
        <w:rPr>
          <w:rFonts w:ascii="宋体" w:hAnsi="宋体" w:cs="宋体"/>
          <w:b/>
          <w:color w:val="auto"/>
          <w:sz w:val="30"/>
          <w:szCs w:val="30"/>
          <w:highlight w:val="none"/>
        </w:rPr>
      </w:pPr>
    </w:p>
    <w:p>
      <w:pPr>
        <w:spacing w:line="460" w:lineRule="exact"/>
        <w:jc w:val="center"/>
        <w:rPr>
          <w:rFonts w:ascii="宋体" w:hAnsi="宋体" w:cs="宋体"/>
          <w:b/>
          <w:color w:val="auto"/>
          <w:sz w:val="30"/>
          <w:szCs w:val="30"/>
          <w:highlight w:val="none"/>
        </w:rPr>
      </w:pPr>
    </w:p>
    <w:p>
      <w:pPr>
        <w:spacing w:line="4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符合投标人资格要求的承诺函</w:t>
      </w:r>
    </w:p>
    <w:p>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pPr>
        <w:spacing w:line="46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________________ _</w:t>
      </w:r>
      <w:r>
        <w:rPr>
          <w:rFonts w:hint="eastAsia" w:ascii="宋体" w:hAnsi="宋体" w:cs="宋体"/>
          <w:bCs/>
          <w:color w:val="auto"/>
          <w:sz w:val="24"/>
          <w:szCs w:val="21"/>
          <w:highlight w:val="none"/>
        </w:rPr>
        <w:t>（项目名称），</w:t>
      </w:r>
      <w:r>
        <w:rPr>
          <w:rFonts w:hint="eastAsia" w:ascii="宋体" w:hAnsi="宋体" w:cs="宋体"/>
          <w:bCs/>
          <w:color w:val="auto"/>
          <w:sz w:val="24"/>
          <w:szCs w:val="21"/>
          <w:highlight w:val="none"/>
          <w:u w:val="single"/>
        </w:rPr>
        <w:t>_______ __________</w:t>
      </w:r>
      <w:r>
        <w:rPr>
          <w:rFonts w:hint="eastAsia" w:ascii="宋体" w:hAnsi="宋体" w:cs="宋体"/>
          <w:bCs/>
          <w:color w:val="auto"/>
          <w:sz w:val="24"/>
          <w:szCs w:val="21"/>
          <w:highlight w:val="none"/>
        </w:rPr>
        <w:t>（项目编号）投标活动。现做出如下承诺：</w:t>
      </w:r>
    </w:p>
    <w:p>
      <w:pPr>
        <w:spacing w:line="460" w:lineRule="exact"/>
        <w:ind w:firstLine="480" w:firstLineChars="200"/>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5.我单位参加采购活动前三年内，在经营活动中没有重大违法记录。</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pPr>
        <w:spacing w:line="460" w:lineRule="exact"/>
        <w:ind w:firstLine="480" w:firstLineChars="200"/>
        <w:rPr>
          <w:rFonts w:ascii="宋体" w:hAnsi="宋体" w:cs="宋体"/>
          <w:color w:val="auto"/>
          <w:sz w:val="24"/>
          <w:highlight w:val="none"/>
        </w:rPr>
      </w:pPr>
    </w:p>
    <w:p>
      <w:pPr>
        <w:spacing w:line="460" w:lineRule="exact"/>
        <w:ind w:firstLine="480" w:firstLineChars="200"/>
        <w:rPr>
          <w:rFonts w:ascii="宋体" w:hAnsi="宋体" w:cs="宋体"/>
          <w:color w:val="auto"/>
          <w:sz w:val="24"/>
          <w:highlight w:val="none"/>
        </w:rPr>
      </w:pPr>
    </w:p>
    <w:p>
      <w:pPr>
        <w:spacing w:line="460" w:lineRule="exact"/>
        <w:ind w:firstLine="480" w:firstLineChars="200"/>
        <w:rPr>
          <w:rFonts w:ascii="宋体" w:hAnsi="宋体" w:cs="宋体"/>
          <w:bCs/>
          <w:color w:val="auto"/>
          <w:sz w:val="24"/>
          <w:szCs w:val="21"/>
          <w:highlight w:val="none"/>
        </w:rPr>
      </w:pPr>
    </w:p>
    <w:p>
      <w:pPr>
        <w:spacing w:line="460" w:lineRule="exact"/>
        <w:ind w:firstLine="480" w:firstLineChars="200"/>
        <w:rPr>
          <w:rFonts w:ascii="宋体" w:hAnsi="宋体" w:cs="宋体"/>
          <w:bCs/>
          <w:color w:val="auto"/>
          <w:sz w:val="24"/>
          <w:szCs w:val="21"/>
          <w:highlight w:val="none"/>
        </w:rPr>
      </w:pPr>
    </w:p>
    <w:p>
      <w:pPr>
        <w:spacing w:line="460" w:lineRule="exact"/>
        <w:ind w:firstLine="480" w:firstLineChars="200"/>
        <w:rPr>
          <w:rFonts w:ascii="宋体" w:hAnsi="宋体" w:cs="宋体"/>
          <w:bCs/>
          <w:color w:val="auto"/>
          <w:sz w:val="24"/>
          <w:szCs w:val="21"/>
          <w:highlight w:val="none"/>
        </w:rPr>
      </w:pPr>
    </w:p>
    <w:p>
      <w:pPr>
        <w:spacing w:line="460" w:lineRule="exact"/>
        <w:ind w:firstLine="480" w:firstLineChars="200"/>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pPr>
        <w:spacing w:line="460" w:lineRule="exact"/>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pPr>
        <w:spacing w:line="460" w:lineRule="exact"/>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pPr>
        <w:spacing w:line="460" w:lineRule="exact"/>
        <w:jc w:val="right"/>
        <w:rPr>
          <w:rFonts w:ascii="宋体" w:hAnsi="宋体" w:cs="宋体"/>
          <w:bCs/>
          <w:color w:val="auto"/>
          <w:sz w:val="24"/>
          <w:szCs w:val="21"/>
          <w:highlight w:val="none"/>
        </w:rPr>
      </w:pPr>
    </w:p>
    <w:p>
      <w:pPr>
        <w:rPr>
          <w:rFonts w:ascii="宋体" w:hAnsi="宋体" w:cs="宋体"/>
          <w:color w:val="auto"/>
          <w:szCs w:val="21"/>
          <w:highlight w:val="none"/>
        </w:rPr>
      </w:pPr>
    </w:p>
    <w:p>
      <w:pPr>
        <w:snapToGrid w:val="0"/>
        <w:spacing w:line="400" w:lineRule="exact"/>
        <w:contextualSpacing/>
        <w:rPr>
          <w:rFonts w:ascii="宋体" w:hAnsi="宋体" w:cs="宋体"/>
          <w:b/>
          <w:color w:val="auto"/>
          <w:kern w:val="0"/>
          <w:sz w:val="28"/>
          <w:szCs w:val="28"/>
          <w:highlight w:val="none"/>
          <w:lang w:val="zh-CN"/>
        </w:rPr>
      </w:pPr>
    </w:p>
    <w:p>
      <w:pPr>
        <w:snapToGrid w:val="0"/>
        <w:spacing w:line="400" w:lineRule="exact"/>
        <w:contextualSpacing/>
        <w:rPr>
          <w:rFonts w:ascii="宋体" w:hAnsi="宋体" w:cs="宋体"/>
          <w:b/>
          <w:color w:val="auto"/>
          <w:kern w:val="0"/>
          <w:sz w:val="28"/>
          <w:szCs w:val="28"/>
          <w:highlight w:val="none"/>
          <w:lang w:val="zh-CN"/>
        </w:rPr>
      </w:pPr>
    </w:p>
    <w:p>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附件2</w:t>
      </w:r>
    </w:p>
    <w:p>
      <w:pPr>
        <w:spacing w:line="460" w:lineRule="exact"/>
        <w:jc w:val="center"/>
        <w:rPr>
          <w:rFonts w:ascii="宋体" w:hAnsi="宋体" w:cs="宋体"/>
          <w:b/>
          <w:bCs/>
          <w:color w:val="auto"/>
          <w:sz w:val="32"/>
          <w:szCs w:val="32"/>
          <w:highlight w:val="none"/>
        </w:rPr>
      </w:pPr>
    </w:p>
    <w:p>
      <w:pPr>
        <w:spacing w:line="460" w:lineRule="exact"/>
        <w:jc w:val="center"/>
        <w:rPr>
          <w:rFonts w:ascii="宋体" w:hAnsi="宋体" w:cs="宋体"/>
          <w:b/>
          <w:bCs/>
          <w:color w:val="auto"/>
          <w:sz w:val="32"/>
          <w:szCs w:val="32"/>
          <w:highlight w:val="none"/>
        </w:rPr>
      </w:pPr>
    </w:p>
    <w:p>
      <w:pPr>
        <w:spacing w:line="460" w:lineRule="exact"/>
        <w:jc w:val="center"/>
        <w:rPr>
          <w:rFonts w:ascii="宋体" w:hAnsi="宋体" w:cs="宋体"/>
          <w:b/>
          <w:bCs/>
          <w:color w:val="auto"/>
          <w:sz w:val="32"/>
          <w:szCs w:val="32"/>
          <w:highlight w:val="none"/>
        </w:rPr>
      </w:pPr>
    </w:p>
    <w:p>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pPr>
        <w:spacing w:line="460" w:lineRule="exact"/>
        <w:rPr>
          <w:rFonts w:ascii="宋体" w:hAnsi="宋体" w:cs="宋体"/>
          <w:color w:val="auto"/>
          <w:sz w:val="24"/>
          <w:highlight w:val="none"/>
        </w:rPr>
      </w:pP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pPr>
        <w:spacing w:line="46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460" w:lineRule="exact"/>
        <w:ind w:firstLine="480"/>
        <w:rPr>
          <w:rFonts w:ascii="宋体" w:hAnsi="宋体" w:cs="宋体"/>
          <w:color w:val="auto"/>
          <w:sz w:val="24"/>
          <w:highlight w:val="none"/>
        </w:rPr>
      </w:pPr>
    </w:p>
    <w:p>
      <w:pPr>
        <w:spacing w:line="46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pPr>
        <w:spacing w:line="460" w:lineRule="exact"/>
        <w:ind w:firstLine="480" w:firstLineChars="200"/>
        <w:rPr>
          <w:rFonts w:ascii="宋体" w:hAnsi="宋体" w:cs="宋体"/>
          <w:color w:val="auto"/>
          <w:sz w:val="24"/>
          <w:highlight w:val="none"/>
        </w:rPr>
      </w:pPr>
    </w:p>
    <w:p>
      <w:pPr>
        <w:spacing w:line="460" w:lineRule="exact"/>
        <w:rPr>
          <w:rFonts w:ascii="宋体" w:hAnsi="宋体" w:cs="宋体"/>
          <w:color w:val="auto"/>
          <w:highlight w:val="none"/>
        </w:rPr>
      </w:pPr>
    </w:p>
    <w:p>
      <w:pPr>
        <w:snapToGrid w:val="0"/>
        <w:spacing w:line="460" w:lineRule="exact"/>
        <w:ind w:firstLine="540" w:firstLineChars="192"/>
        <w:contextualSpacing/>
        <w:rPr>
          <w:rFonts w:ascii="宋体" w:hAnsi="宋体" w:cs="宋体"/>
          <w:b/>
          <w:color w:val="auto"/>
          <w:kern w:val="0"/>
          <w:sz w:val="28"/>
          <w:szCs w:val="28"/>
          <w:highlight w:val="none"/>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pStyle w:val="20"/>
        <w:rPr>
          <w:rFonts w:ascii="宋体" w:hAnsi="宋体" w:eastAsia="宋体" w:cs="宋体"/>
          <w:b/>
          <w:color w:val="auto"/>
          <w:szCs w:val="28"/>
          <w:highlight w:val="none"/>
          <w:lang w:val="zh-CN"/>
        </w:rPr>
      </w:pPr>
    </w:p>
    <w:p>
      <w:pPr>
        <w:pStyle w:val="21"/>
        <w:rPr>
          <w:rFonts w:ascii="宋体" w:hAnsi="宋体" w:cs="宋体"/>
          <w:color w:val="auto"/>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contextualSpacing/>
        <w:rPr>
          <w:rFonts w:ascii="宋体" w:hAnsi="宋体" w:cs="宋体"/>
          <w:b/>
          <w:color w:val="auto"/>
          <w:kern w:val="0"/>
          <w:sz w:val="28"/>
          <w:szCs w:val="28"/>
          <w:highlight w:val="none"/>
          <w:lang w:val="zh-CN"/>
        </w:rPr>
      </w:pPr>
    </w:p>
    <w:p>
      <w:pPr>
        <w:snapToGrid w:val="0"/>
        <w:spacing w:line="460" w:lineRule="exact"/>
        <w:contextualSpacing/>
        <w:rPr>
          <w:rFonts w:ascii="宋体" w:hAnsi="宋体" w:cs="宋体"/>
          <w:color w:val="auto"/>
          <w:kern w:val="0"/>
          <w:sz w:val="32"/>
          <w:szCs w:val="32"/>
          <w:highlight w:val="none"/>
          <w:lang w:val="zh-CN"/>
        </w:rPr>
      </w:pPr>
    </w:p>
    <w:p>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pPr>
        <w:spacing w:line="460" w:lineRule="exact"/>
        <w:jc w:val="center"/>
        <w:rPr>
          <w:rFonts w:ascii="宋体" w:hAnsi="宋体" w:cs="宋体"/>
          <w:color w:val="auto"/>
          <w:sz w:val="32"/>
          <w:szCs w:val="32"/>
          <w:highlight w:val="none"/>
        </w:rPr>
      </w:pPr>
    </w:p>
    <w:p>
      <w:pPr>
        <w:spacing w:line="460" w:lineRule="exact"/>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法定代表人授权委托书</w:t>
      </w:r>
    </w:p>
    <w:p>
      <w:pPr>
        <w:spacing w:line="460" w:lineRule="exact"/>
        <w:ind w:firstLine="560" w:firstLineChars="200"/>
        <w:rPr>
          <w:rFonts w:ascii="宋体" w:hAnsi="宋体" w:cs="宋体"/>
          <w:color w:val="auto"/>
          <w:sz w:val="28"/>
          <w:szCs w:val="28"/>
          <w:highlight w:val="none"/>
        </w:rPr>
      </w:pP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本授权书于---年---月---日起生效。代理人无转委托权。</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代理人(被授权人):------</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授权单位名称（盖章）：-----</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授权单位法定代表人（签字或盖章）：-----</w:t>
      </w:r>
    </w:p>
    <w:p>
      <w:pPr>
        <w:spacing w:line="460" w:lineRule="exact"/>
        <w:ind w:firstLine="560" w:firstLineChars="200"/>
        <w:jc w:val="right"/>
        <w:rPr>
          <w:rFonts w:ascii="宋体" w:hAnsi="宋体" w:cs="宋体"/>
          <w:color w:val="auto"/>
          <w:sz w:val="28"/>
          <w:szCs w:val="28"/>
          <w:highlight w:val="none"/>
        </w:rPr>
      </w:pPr>
    </w:p>
    <w:p>
      <w:pPr>
        <w:spacing w:line="46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XXXX年XX月XX日</w:t>
      </w:r>
    </w:p>
    <w:p>
      <w:pPr>
        <w:snapToGrid w:val="0"/>
        <w:spacing w:line="460" w:lineRule="exact"/>
        <w:ind w:firstLine="562" w:firstLineChars="200"/>
        <w:contextualSpacing/>
        <w:rPr>
          <w:rFonts w:ascii="宋体" w:hAnsi="宋体" w:cs="宋体"/>
          <w:b/>
          <w:color w:val="auto"/>
          <w:kern w:val="0"/>
          <w:sz w:val="28"/>
          <w:szCs w:val="28"/>
          <w:highlight w:val="none"/>
        </w:rPr>
      </w:pPr>
    </w:p>
    <w:p>
      <w:pPr>
        <w:snapToGrid w:val="0"/>
        <w:spacing w:line="460" w:lineRule="exact"/>
        <w:ind w:firstLine="562" w:firstLineChars="200"/>
        <w:contextualSpacing/>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注：提供投标代表本人身份证复印件盖公章</w:t>
      </w: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pacing w:line="360" w:lineRule="exact"/>
        <w:outlineLvl w:val="3"/>
        <w:rPr>
          <w:rFonts w:ascii="宋体" w:hAnsi="宋体" w:cs="宋体"/>
          <w:b/>
          <w:color w:val="auto"/>
          <w:sz w:val="28"/>
          <w:szCs w:val="28"/>
          <w:highlight w:val="none"/>
          <w:lang w:bidi="ar"/>
        </w:rPr>
      </w:pPr>
      <w:r>
        <w:rPr>
          <w:rFonts w:hint="eastAsia" w:ascii="宋体" w:hAnsi="宋体" w:cs="宋体"/>
          <w:b/>
          <w:color w:val="auto"/>
          <w:sz w:val="32"/>
          <w:szCs w:val="32"/>
          <w:highlight w:val="none"/>
          <w:lang w:bidi="ar"/>
        </w:rPr>
        <w:br w:type="page"/>
      </w:r>
      <w:r>
        <w:rPr>
          <w:rFonts w:hint="eastAsia" w:ascii="宋体" w:hAnsi="宋体" w:cs="宋体"/>
          <w:color w:val="auto"/>
          <w:sz w:val="28"/>
          <w:szCs w:val="28"/>
          <w:highlight w:val="none"/>
        </w:rPr>
        <w:t>附件4</w:t>
      </w:r>
    </w:p>
    <w:p>
      <w:pPr>
        <w:snapToGrid w:val="0"/>
        <w:spacing w:line="300" w:lineRule="auto"/>
        <w:contextualSpacing/>
        <w:jc w:val="center"/>
        <w:rPr>
          <w:rFonts w:ascii="宋体" w:hAnsi="宋体" w:cs="宋体"/>
          <w:b/>
          <w:color w:val="auto"/>
          <w:sz w:val="28"/>
          <w:szCs w:val="28"/>
          <w:highlight w:val="none"/>
        </w:rPr>
      </w:pPr>
      <w:r>
        <w:rPr>
          <w:rFonts w:hint="eastAsia" w:ascii="宋体" w:hAnsi="宋体" w:cs="宋体"/>
          <w:b/>
          <w:color w:val="auto"/>
          <w:sz w:val="28"/>
          <w:szCs w:val="28"/>
          <w:highlight w:val="none"/>
        </w:rPr>
        <w:t>商务部分正负偏离表</w:t>
      </w:r>
    </w:p>
    <w:p>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（由供应商据实填写，表格不够自行添加）</w:t>
      </w:r>
    </w:p>
    <w:tbl>
      <w:tblPr>
        <w:tblStyle w:val="37"/>
        <w:tblW w:w="5000" w:type="pct"/>
        <w:tblInd w:w="-1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221"/>
        <w:gridCol w:w="1896"/>
        <w:gridCol w:w="2153"/>
        <w:gridCol w:w="1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1302"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货物或服务名称</w:t>
            </w:r>
          </w:p>
        </w:tc>
        <w:tc>
          <w:tcPr>
            <w:tcW w:w="111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招标文件要求的商务条款</w:t>
            </w:r>
          </w:p>
        </w:tc>
        <w:tc>
          <w:tcPr>
            <w:tcW w:w="1262"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w:t>
            </w:r>
          </w:p>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响应情况</w:t>
            </w:r>
          </w:p>
        </w:tc>
        <w:tc>
          <w:tcPr>
            <w:tcW w:w="864"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color w:val="auto"/>
                <w:sz w:val="28"/>
                <w:szCs w:val="28"/>
                <w:highlight w:val="none"/>
              </w:rPr>
            </w:pPr>
          </w:p>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bl>
    <w:p>
      <w:pPr>
        <w:snapToGrid w:val="0"/>
        <w:spacing w:line="300" w:lineRule="auto"/>
        <w:contextualSpacing/>
        <w:rPr>
          <w:rFonts w:ascii="宋体" w:hAnsi="宋体" w:cs="宋体"/>
          <w:b/>
          <w:color w:val="auto"/>
          <w:sz w:val="28"/>
          <w:szCs w:val="28"/>
          <w:highlight w:val="none"/>
        </w:rPr>
      </w:pPr>
      <w:r>
        <w:rPr>
          <w:rFonts w:hint="eastAsia" w:ascii="宋体" w:hAnsi="宋体" w:cs="宋体"/>
          <w:b/>
          <w:color w:val="auto"/>
          <w:sz w:val="28"/>
          <w:szCs w:val="28"/>
          <w:highlight w:val="none"/>
        </w:rPr>
        <w:t>注：</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1.供应商提交的响应文件中与采购文件第三部分“项目需求”中的商务部分的要求，应逐条填列在偏离表中。</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2.“偏离说明”一栏选择“正偏离”、“负偏离”、“无偏离”进行填写。正偏离、负偏离、无偏离的确认，由评审小组认定。</w:t>
      </w:r>
    </w:p>
    <w:p>
      <w:pPr>
        <w:snapToGrid w:val="0"/>
        <w:spacing w:line="300" w:lineRule="auto"/>
        <w:ind w:firstLine="560" w:firstLineChars="200"/>
        <w:contextualSpacing/>
        <w:rPr>
          <w:rFonts w:ascii="宋体" w:hAnsi="宋体" w:cs="宋体"/>
          <w:bCs/>
          <w:color w:val="auto"/>
          <w:sz w:val="28"/>
          <w:szCs w:val="28"/>
          <w:highlight w:val="none"/>
        </w:rPr>
      </w:pPr>
      <w:r>
        <w:rPr>
          <w:rFonts w:hint="eastAsia" w:ascii="宋体" w:hAnsi="宋体" w:cs="宋体"/>
          <w:bCs/>
          <w:color w:val="auto"/>
          <w:sz w:val="28"/>
          <w:szCs w:val="28"/>
          <w:highlight w:val="none"/>
        </w:rPr>
        <w:t>3.供应商若提供其他增值服务，可以在表中自行据实填写。</w:t>
      </w: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contextualSpacing/>
        <w:rPr>
          <w:rFonts w:ascii="宋体" w:hAnsi="宋体" w:cs="宋体"/>
          <w:color w:val="auto"/>
          <w:kern w:val="0"/>
          <w:sz w:val="28"/>
          <w:szCs w:val="28"/>
          <w:highlight w:val="none"/>
        </w:rPr>
      </w:pPr>
    </w:p>
    <w:p>
      <w:pPr>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t>附件5</w:t>
      </w:r>
    </w:p>
    <w:p>
      <w:pPr>
        <w:snapToGrid w:val="0"/>
        <w:spacing w:line="300" w:lineRule="auto"/>
        <w:contextualSpacing/>
        <w:jc w:val="center"/>
        <w:rPr>
          <w:rFonts w:ascii="宋体" w:hAnsi="宋体" w:cs="宋体"/>
          <w:b/>
          <w:color w:val="auto"/>
          <w:sz w:val="28"/>
          <w:szCs w:val="28"/>
          <w:highlight w:val="none"/>
        </w:rPr>
      </w:pPr>
      <w:r>
        <w:rPr>
          <w:rFonts w:hint="eastAsia" w:ascii="宋体" w:hAnsi="宋体" w:cs="宋体"/>
          <w:b/>
          <w:color w:val="auto"/>
          <w:sz w:val="28"/>
          <w:szCs w:val="28"/>
          <w:highlight w:val="none"/>
        </w:rPr>
        <w:t>技术部分正负偏离表</w:t>
      </w:r>
    </w:p>
    <w:p>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（由供应商据实填写，表格不够自行添加）</w:t>
      </w:r>
    </w:p>
    <w:tbl>
      <w:tblPr>
        <w:tblStyle w:val="37"/>
        <w:tblW w:w="5000" w:type="pct"/>
        <w:tblInd w:w="-1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9"/>
        <w:gridCol w:w="1943"/>
        <w:gridCol w:w="2506"/>
        <w:gridCol w:w="11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货物或服务名称</w:t>
            </w:r>
          </w:p>
        </w:tc>
        <w:tc>
          <w:tcPr>
            <w:tcW w:w="1139"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招标文件要求的技术要求</w:t>
            </w:r>
          </w:p>
        </w:tc>
        <w:tc>
          <w:tcPr>
            <w:tcW w:w="1469"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响应文件响应情况</w:t>
            </w:r>
          </w:p>
        </w:tc>
        <w:tc>
          <w:tcPr>
            <w:tcW w:w="678"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color w:val="auto"/>
                <w:sz w:val="28"/>
                <w:szCs w:val="28"/>
                <w:highlight w:val="none"/>
              </w:rPr>
            </w:pPr>
          </w:p>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bl>
    <w:p>
      <w:pPr>
        <w:snapToGrid w:val="0"/>
        <w:spacing w:line="300" w:lineRule="auto"/>
        <w:contextualSpacing/>
        <w:rPr>
          <w:rFonts w:ascii="宋体" w:hAnsi="宋体" w:cs="宋体"/>
          <w:b/>
          <w:color w:val="auto"/>
          <w:sz w:val="28"/>
          <w:szCs w:val="28"/>
          <w:highlight w:val="none"/>
        </w:rPr>
      </w:pPr>
      <w:r>
        <w:rPr>
          <w:rFonts w:hint="eastAsia" w:ascii="宋体" w:hAnsi="宋体" w:cs="宋体"/>
          <w:b/>
          <w:color w:val="auto"/>
          <w:sz w:val="28"/>
          <w:szCs w:val="28"/>
          <w:highlight w:val="none"/>
        </w:rPr>
        <w:t>注：</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1.供应商提交的响应文件中与采购文件第三部分“项目需求”中的技术部分的要求，应逐条填列在偏离表中。</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2.“偏离说明”一栏选择“正偏离”、“负偏离”、“无偏离”进行填写。正偏离、负偏离、无偏离的确认，由评审小组认定。</w:t>
      </w:r>
    </w:p>
    <w:p>
      <w:pPr>
        <w:snapToGrid w:val="0"/>
        <w:spacing w:line="400" w:lineRule="exact"/>
        <w:ind w:firstLine="560" w:firstLineChars="200"/>
        <w:contextualSpacing/>
        <w:rPr>
          <w:rFonts w:ascii="宋体" w:hAnsi="宋体" w:cs="宋体"/>
          <w:bCs/>
          <w:color w:val="auto"/>
          <w:sz w:val="28"/>
          <w:szCs w:val="28"/>
          <w:highlight w:val="none"/>
        </w:rPr>
      </w:pPr>
      <w:r>
        <w:rPr>
          <w:rFonts w:hint="eastAsia" w:ascii="宋体" w:hAnsi="宋体" w:cs="宋体"/>
          <w:bCs/>
          <w:color w:val="auto"/>
          <w:sz w:val="28"/>
          <w:szCs w:val="28"/>
          <w:highlight w:val="none"/>
        </w:rPr>
        <w:t>3.供应商若提供其他增值服务，可以在表中自行据实填写。</w:t>
      </w:r>
    </w:p>
    <w:p>
      <w:pPr>
        <w:snapToGrid w:val="0"/>
        <w:spacing w:line="400" w:lineRule="exact"/>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br w:type="page"/>
      </w:r>
      <w:r>
        <w:rPr>
          <w:rFonts w:hint="eastAsia" w:ascii="宋体" w:hAnsi="宋体" w:cs="宋体"/>
          <w:color w:val="auto"/>
          <w:kern w:val="0"/>
          <w:sz w:val="32"/>
          <w:szCs w:val="32"/>
          <w:highlight w:val="none"/>
        </w:rPr>
        <w:t>附件6</w:t>
      </w:r>
    </w:p>
    <w:p>
      <w:pPr>
        <w:widowControl/>
        <w:spacing w:before="100" w:beforeAutospacing="1" w:after="100" w:afterAutospacing="1" w:line="50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开  标 一 览  表</w:t>
      </w:r>
    </w:p>
    <w:p>
      <w:pPr>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投标人全称（加盖公章）：</w:t>
      </w:r>
    </w:p>
    <w:p>
      <w:pPr>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项目名称：</w:t>
      </w:r>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项目编号：</w:t>
      </w:r>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分包号：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cs="宋体"/>
                <w:color w:val="auto"/>
                <w:szCs w:val="22"/>
                <w:highlight w:val="none"/>
              </w:rPr>
            </w:pPr>
            <w:r>
              <w:rPr>
                <w:rFonts w:hint="eastAsia" w:ascii="宋体" w:hAnsi="宋体" w:cs="宋体"/>
                <w:color w:val="auto"/>
                <w:kern w:val="0"/>
                <w:sz w:val="28"/>
                <w:szCs w:val="28"/>
                <w:highlight w:val="none"/>
              </w:rPr>
              <w:t>投标产品名称</w:t>
            </w:r>
          </w:p>
        </w:tc>
        <w:tc>
          <w:tcPr>
            <w:tcW w:w="4607" w:type="dxa"/>
          </w:tcPr>
          <w:p>
            <w:pPr>
              <w:jc w:val="center"/>
              <w:rPr>
                <w:rFonts w:ascii="宋体" w:hAnsi="宋体" w:cs="宋体"/>
                <w:color w:val="auto"/>
                <w:szCs w:val="22"/>
                <w:highlight w:val="none"/>
              </w:rPr>
            </w:pPr>
            <w:r>
              <w:rPr>
                <w:rFonts w:hint="eastAsia" w:ascii="宋体" w:hAnsi="宋体" w:cs="宋体"/>
                <w:color w:val="auto"/>
                <w:kern w:val="0"/>
                <w:sz w:val="28"/>
                <w:szCs w:val="28"/>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rPr>
                <w:rFonts w:ascii="宋体" w:hAnsi="宋体" w:cs="宋体"/>
                <w:color w:val="auto"/>
                <w:szCs w:val="22"/>
                <w:highlight w:val="none"/>
              </w:rPr>
            </w:pPr>
          </w:p>
        </w:tc>
        <w:tc>
          <w:tcPr>
            <w:tcW w:w="4607" w:type="dxa"/>
            <w:vAlign w:val="center"/>
          </w:tcPr>
          <w:p>
            <w:pPr>
              <w:jc w:val="center"/>
              <w:rPr>
                <w:rFonts w:ascii="宋体" w:hAnsi="宋体" w:cs="宋体"/>
                <w:color w:val="auto"/>
                <w:sz w:val="28"/>
                <w:szCs w:val="32"/>
                <w:highlight w:val="none"/>
              </w:rPr>
            </w:pPr>
            <w:r>
              <w:rPr>
                <w:rFonts w:hint="eastAsia" w:ascii="宋体" w:hAnsi="宋体" w:cs="宋体"/>
                <w:color w:val="auto"/>
                <w:sz w:val="28"/>
                <w:szCs w:val="32"/>
                <w:highlight w:val="none"/>
              </w:rPr>
              <w:t>大写：</w:t>
            </w:r>
            <w:r>
              <w:rPr>
                <w:rFonts w:hint="eastAsia" w:ascii="宋体" w:hAnsi="宋体" w:cs="宋体"/>
                <w:color w:val="auto"/>
                <w:sz w:val="28"/>
                <w:szCs w:val="32"/>
                <w:highlight w:val="none"/>
                <w:u w:val="single"/>
              </w:rPr>
              <w:t xml:space="preserve">      </w:t>
            </w:r>
            <w:r>
              <w:rPr>
                <w:rFonts w:hint="eastAsia" w:ascii="宋体" w:hAnsi="宋体" w:cs="宋体"/>
                <w:color w:val="auto"/>
                <w:sz w:val="28"/>
                <w:szCs w:val="32"/>
                <w:highlight w:val="none"/>
              </w:rPr>
              <w:t>元</w:t>
            </w:r>
          </w:p>
          <w:p>
            <w:pPr>
              <w:jc w:val="center"/>
              <w:rPr>
                <w:rFonts w:ascii="宋体" w:hAnsi="宋体" w:cs="宋体"/>
                <w:color w:val="auto"/>
                <w:szCs w:val="22"/>
                <w:highlight w:val="none"/>
                <w:u w:val="single"/>
              </w:rPr>
            </w:pPr>
            <w:r>
              <w:rPr>
                <w:rFonts w:hint="eastAsia" w:ascii="宋体" w:hAnsi="宋体" w:cs="宋体"/>
                <w:color w:val="auto"/>
                <w:sz w:val="28"/>
                <w:szCs w:val="32"/>
                <w:highlight w:val="none"/>
              </w:rPr>
              <w:t>小写：</w:t>
            </w:r>
            <w:r>
              <w:rPr>
                <w:rFonts w:hint="eastAsia" w:ascii="宋体" w:hAnsi="宋体" w:cs="宋体"/>
                <w:color w:val="auto"/>
                <w:sz w:val="28"/>
                <w:szCs w:val="32"/>
                <w:highlight w:val="none"/>
                <w:u w:val="single"/>
              </w:rPr>
              <w:t xml:space="preserve">      </w:t>
            </w:r>
            <w:r>
              <w:rPr>
                <w:rFonts w:hint="eastAsia" w:ascii="宋体" w:hAnsi="宋体" w:cs="宋体"/>
                <w:color w:val="auto"/>
                <w:sz w:val="28"/>
                <w:szCs w:val="32"/>
                <w:highlight w:val="none"/>
              </w:rPr>
              <w:t>元</w:t>
            </w:r>
          </w:p>
        </w:tc>
      </w:tr>
    </w:tbl>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w:t>
      </w:r>
    </w:p>
    <w:p>
      <w:pPr>
        <w:spacing w:line="46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填写说明：</w:t>
      </w:r>
    </w:p>
    <w:p>
      <w:pPr>
        <w:spacing w:line="46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1、开标一览表必须加盖投标单位公章（复印件无效）。</w:t>
      </w:r>
    </w:p>
    <w:p>
      <w:pPr>
        <w:spacing w:line="460" w:lineRule="exact"/>
        <w:rPr>
          <w:rFonts w:ascii="宋体" w:hAnsi="宋体" w:cs="宋体"/>
          <w:color w:val="auto"/>
          <w:kern w:val="0"/>
          <w:sz w:val="28"/>
          <w:szCs w:val="28"/>
          <w:highlight w:val="none"/>
        </w:rPr>
        <w:sectPr>
          <w:headerReference r:id="rId5" w:type="first"/>
          <w:headerReference r:id="rId3" w:type="default"/>
          <w:footerReference r:id="rId6" w:type="default"/>
          <w:headerReference r:id="rId4" w:type="even"/>
          <w:pgSz w:w="11906" w:h="16838"/>
          <w:pgMar w:top="1440" w:right="1797" w:bottom="1440" w:left="1797" w:header="851" w:footer="992" w:gutter="0"/>
          <w:cols w:space="720" w:num="1"/>
          <w:docGrid w:type="lines" w:linePitch="312" w:charSpace="0"/>
        </w:sectPr>
      </w:pPr>
    </w:p>
    <w:p>
      <w:pPr>
        <w:jc w:val="left"/>
        <w:rPr>
          <w:rFonts w:ascii="宋体" w:hAnsi="宋体" w:cs="宋体"/>
          <w:color w:val="auto"/>
          <w:sz w:val="32"/>
          <w:szCs w:val="32"/>
          <w:highlight w:val="none"/>
        </w:rPr>
      </w:pPr>
      <w:r>
        <w:rPr>
          <w:rFonts w:hint="eastAsia" w:ascii="宋体" w:hAnsi="宋体" w:cs="宋体"/>
          <w:color w:val="auto"/>
          <w:sz w:val="32"/>
          <w:szCs w:val="32"/>
          <w:highlight w:val="none"/>
        </w:rPr>
        <w:t>附件7</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分项报价表</w:t>
      </w:r>
    </w:p>
    <w:p>
      <w:pPr>
        <w:rPr>
          <w:rFonts w:ascii="宋体" w:hAnsi="宋体" w:cs="宋体"/>
          <w:color w:val="auto"/>
          <w:sz w:val="32"/>
          <w:szCs w:val="32"/>
          <w:highlight w:val="none"/>
        </w:rPr>
      </w:pPr>
    </w:p>
    <w:tbl>
      <w:tblPr>
        <w:tblStyle w:val="37"/>
        <w:tblW w:w="14674" w:type="dxa"/>
        <w:tblInd w:w="-674" w:type="dxa"/>
        <w:tblLayout w:type="fixed"/>
        <w:tblCellMar>
          <w:top w:w="0" w:type="dxa"/>
          <w:left w:w="108" w:type="dxa"/>
          <w:bottom w:w="0" w:type="dxa"/>
          <w:right w:w="108" w:type="dxa"/>
        </w:tblCellMar>
      </w:tblPr>
      <w:tblGrid>
        <w:gridCol w:w="611"/>
        <w:gridCol w:w="586"/>
        <w:gridCol w:w="1128"/>
        <w:gridCol w:w="916"/>
        <w:gridCol w:w="664"/>
        <w:gridCol w:w="1357"/>
        <w:gridCol w:w="2041"/>
        <w:gridCol w:w="1701"/>
        <w:gridCol w:w="2410"/>
        <w:gridCol w:w="1134"/>
        <w:gridCol w:w="2126"/>
      </w:tblGrid>
      <w:tr>
        <w:tblPrEx>
          <w:tblCellMar>
            <w:top w:w="0" w:type="dxa"/>
            <w:left w:w="108" w:type="dxa"/>
            <w:bottom w:w="0" w:type="dxa"/>
            <w:right w:w="108" w:type="dxa"/>
          </w:tblCellMar>
        </w:tblPrEx>
        <w:trPr>
          <w:trHeight w:val="666" w:hRule="atLeast"/>
        </w:trPr>
        <w:tc>
          <w:tcPr>
            <w:tcW w:w="6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序号</w:t>
            </w:r>
          </w:p>
        </w:tc>
        <w:tc>
          <w:tcPr>
            <w:tcW w:w="586"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楼号</w:t>
            </w:r>
          </w:p>
        </w:tc>
        <w:tc>
          <w:tcPr>
            <w:tcW w:w="1128"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梯号</w:t>
            </w:r>
          </w:p>
        </w:tc>
        <w:tc>
          <w:tcPr>
            <w:tcW w:w="916"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品牌</w:t>
            </w:r>
          </w:p>
        </w:tc>
        <w:tc>
          <w:tcPr>
            <w:tcW w:w="664"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数量</w:t>
            </w:r>
          </w:p>
        </w:tc>
        <w:tc>
          <w:tcPr>
            <w:tcW w:w="1357"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扶梯拆梯费</w:t>
            </w:r>
          </w:p>
        </w:tc>
        <w:tc>
          <w:tcPr>
            <w:tcW w:w="2041"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底坑土建整改费用</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电扶梯设备价</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扶梯安装及调试费用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单台小计</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扶梯功能配置</w:t>
            </w:r>
          </w:p>
        </w:tc>
      </w:tr>
      <w:tr>
        <w:tblPrEx>
          <w:tblCellMar>
            <w:top w:w="0" w:type="dxa"/>
            <w:left w:w="108" w:type="dxa"/>
            <w:bottom w:w="0" w:type="dxa"/>
            <w:right w:w="108" w:type="dxa"/>
          </w:tblCellMar>
        </w:tblPrEx>
        <w:trPr>
          <w:trHeight w:val="1384" w:hRule="atLeast"/>
        </w:trPr>
        <w:tc>
          <w:tcPr>
            <w:tcW w:w="61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1</w:t>
            </w:r>
          </w:p>
        </w:tc>
        <w:tc>
          <w:tcPr>
            <w:tcW w:w="586" w:type="dxa"/>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A</w:t>
            </w:r>
          </w:p>
        </w:tc>
        <w:tc>
          <w:tcPr>
            <w:tcW w:w="1128"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ascii="等线" w:hAnsi="等线" w:eastAsia="等线" w:cs="宋体"/>
                <w:color w:val="auto"/>
                <w:kern w:val="0"/>
                <w:sz w:val="22"/>
                <w:highlight w:val="none"/>
              </w:rPr>
              <w:t>F</w:t>
            </w:r>
            <w:r>
              <w:rPr>
                <w:rFonts w:hint="eastAsia" w:ascii="等线" w:hAnsi="等线" w:eastAsia="等线" w:cs="宋体"/>
                <w:color w:val="auto"/>
                <w:kern w:val="0"/>
                <w:sz w:val="22"/>
                <w:highlight w:val="none"/>
              </w:rPr>
              <w:t>T1</w:t>
            </w:r>
          </w:p>
        </w:tc>
        <w:tc>
          <w:tcPr>
            <w:tcW w:w="916" w:type="dxa"/>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664"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1</w:t>
            </w:r>
          </w:p>
        </w:tc>
        <w:tc>
          <w:tcPr>
            <w:tcW w:w="1357"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ascii="等线" w:hAnsi="等线" w:eastAsia="等线" w:cs="宋体"/>
                <w:color w:val="auto"/>
                <w:kern w:val="0"/>
                <w:sz w:val="22"/>
                <w:highlight w:val="none"/>
              </w:rPr>
              <w:t>100</w:t>
            </w:r>
          </w:p>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（示例）</w:t>
            </w:r>
          </w:p>
        </w:tc>
        <w:tc>
          <w:tcPr>
            <w:tcW w:w="204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241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2126"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等线" w:hAnsi="等线" w:eastAsia="等线" w:cs="宋体"/>
                <w:color w:val="auto"/>
                <w:kern w:val="0"/>
                <w:sz w:val="22"/>
                <w:highlight w:val="none"/>
              </w:rPr>
            </w:pPr>
          </w:p>
        </w:tc>
      </w:tr>
    </w:tbl>
    <w:p>
      <w:pPr>
        <w:widowControl/>
        <w:adjustRightInd w:val="0"/>
        <w:spacing w:line="480" w:lineRule="auto"/>
        <w:jc w:val="center"/>
        <w:rPr>
          <w:rFonts w:ascii="宋体" w:hAnsi="宋体" w:cs="宋体"/>
          <w:color w:val="auto"/>
          <w:kern w:val="0"/>
          <w:sz w:val="20"/>
          <w:szCs w:val="21"/>
          <w:highlight w:val="none"/>
          <w:lang w:val="zh-CN"/>
        </w:rPr>
      </w:pPr>
    </w:p>
    <w:p>
      <w:pPr>
        <w:widowControl/>
        <w:adjustRightInd w:val="0"/>
        <w:spacing w:line="480" w:lineRule="auto"/>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投标人名称：</w:t>
      </w:r>
      <w:r>
        <w:rPr>
          <w:rFonts w:hint="eastAsia" w:ascii="宋体" w:hAnsi="宋体" w:cs="宋体"/>
          <w:color w:val="auto"/>
          <w:kern w:val="0"/>
          <w:sz w:val="28"/>
          <w:szCs w:val="28"/>
          <w:highlight w:val="none"/>
          <w:u w:val="single"/>
          <w:lang w:val="zh-CN"/>
        </w:rPr>
        <w:t xml:space="preserve">                                     </w:t>
      </w:r>
      <w:r>
        <w:rPr>
          <w:rFonts w:hint="eastAsia" w:ascii="宋体" w:hAnsi="宋体" w:cs="宋体"/>
          <w:color w:val="auto"/>
          <w:kern w:val="0"/>
          <w:sz w:val="28"/>
          <w:szCs w:val="28"/>
          <w:highlight w:val="none"/>
          <w:lang w:val="zh-CN"/>
        </w:rPr>
        <w:t>（盖章）</w:t>
      </w:r>
    </w:p>
    <w:p>
      <w:pPr>
        <w:pStyle w:val="71"/>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法定代表人（单位负责人）或其委托代理人：（签字或盖章）</w:t>
      </w:r>
    </w:p>
    <w:p>
      <w:pPr>
        <w:rPr>
          <w:color w:val="auto"/>
          <w:highlight w:val="none"/>
        </w:rPr>
        <w:sectPr>
          <w:pgSz w:w="16838" w:h="11906" w:orient="landscape"/>
          <w:pgMar w:top="1797" w:right="1440" w:bottom="1797" w:left="1440" w:header="851" w:footer="992" w:gutter="0"/>
          <w:cols w:space="720" w:num="1"/>
          <w:docGrid w:type="lines" w:linePitch="319" w:charSpace="0"/>
        </w:sectPr>
      </w:pPr>
    </w:p>
    <w:p>
      <w:pPr>
        <w:adjustRightInd w:val="0"/>
        <w:spacing w:line="460" w:lineRule="exact"/>
        <w:rPr>
          <w:rFonts w:ascii="宋体" w:hAnsi="宋体" w:cs="宋体"/>
          <w:color w:val="auto"/>
          <w:kern w:val="0"/>
          <w:sz w:val="24"/>
          <w:highlight w:val="none"/>
        </w:rPr>
      </w:pPr>
      <w:r>
        <w:rPr>
          <w:rFonts w:hint="eastAsia" w:ascii="宋体" w:hAnsi="宋体" w:cs="宋体"/>
          <w:b/>
          <w:color w:val="auto"/>
          <w:kern w:val="0"/>
          <w:sz w:val="22"/>
          <w:highlight w:val="none"/>
          <w:lang w:val="zh-CN"/>
        </w:rPr>
        <w:t>说明：</w:t>
      </w:r>
      <w:r>
        <w:rPr>
          <w:rFonts w:hint="eastAsia" w:ascii="宋体" w:hAnsi="宋体" w:cs="宋体"/>
          <w:color w:val="auto"/>
          <w:kern w:val="0"/>
          <w:sz w:val="24"/>
          <w:highlight w:val="none"/>
        </w:rPr>
        <w:t>1、扶梯参数详见第三部分</w:t>
      </w:r>
      <w:r>
        <w:rPr>
          <w:rFonts w:ascii="宋体" w:hAnsi="宋体" w:cs="宋体"/>
          <w:color w:val="auto"/>
          <w:kern w:val="0"/>
          <w:sz w:val="24"/>
          <w:highlight w:val="none"/>
        </w:rPr>
        <w:t>内容</w:t>
      </w:r>
      <w:r>
        <w:rPr>
          <w:rFonts w:hint="eastAsia" w:ascii="宋体" w:hAnsi="宋体" w:cs="宋体"/>
          <w:color w:val="auto"/>
          <w:kern w:val="0"/>
          <w:sz w:val="24"/>
          <w:highlight w:val="none"/>
        </w:rPr>
        <w:t>。</w:t>
      </w:r>
    </w:p>
    <w:p>
      <w:pPr>
        <w:adjustRightInd w:val="0"/>
        <w:spacing w:line="460" w:lineRule="exact"/>
        <w:rPr>
          <w:rFonts w:ascii="宋体" w:hAnsi="宋体" w:cs="宋体"/>
          <w:color w:val="auto"/>
          <w:kern w:val="0"/>
          <w:sz w:val="24"/>
          <w:highlight w:val="none"/>
        </w:rPr>
      </w:pPr>
      <w:r>
        <w:rPr>
          <w:rFonts w:ascii="宋体" w:hAnsi="宋体" w:cs="宋体"/>
          <w:color w:val="auto"/>
          <w:kern w:val="0"/>
          <w:sz w:val="24"/>
          <w:highlight w:val="none"/>
        </w:rPr>
        <w:t xml:space="preserve">      2</w:t>
      </w:r>
      <w:r>
        <w:rPr>
          <w:rFonts w:hint="eastAsia" w:ascii="宋体" w:hAnsi="宋体" w:cs="宋体"/>
          <w:color w:val="auto"/>
          <w:kern w:val="0"/>
          <w:sz w:val="24"/>
          <w:highlight w:val="none"/>
        </w:rPr>
        <w:t>、</w:t>
      </w:r>
      <w:r>
        <w:rPr>
          <w:rFonts w:ascii="宋体" w:hAnsi="宋体" w:cs="宋体"/>
          <w:color w:val="auto"/>
          <w:kern w:val="0"/>
          <w:sz w:val="24"/>
          <w:highlight w:val="none"/>
        </w:rPr>
        <w:t>扶梯拆梯费用：处置权归</w:t>
      </w:r>
      <w:r>
        <w:rPr>
          <w:rFonts w:hint="eastAsia" w:ascii="宋体" w:hAnsi="宋体" w:cs="宋体"/>
          <w:color w:val="auto"/>
          <w:kern w:val="0"/>
          <w:sz w:val="24"/>
          <w:highlight w:val="none"/>
        </w:rPr>
        <w:t>中标人</w:t>
      </w:r>
      <w:r>
        <w:rPr>
          <w:rFonts w:ascii="宋体" w:hAnsi="宋体" w:cs="宋体"/>
          <w:color w:val="auto"/>
          <w:kern w:val="0"/>
          <w:sz w:val="24"/>
          <w:highlight w:val="none"/>
        </w:rPr>
        <w:t>所有。</w:t>
      </w:r>
    </w:p>
    <w:p>
      <w:pPr>
        <w:adjustRightInd w:val="0"/>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3</w:t>
      </w:r>
      <w:r>
        <w:rPr>
          <w:rFonts w:hint="eastAsia" w:ascii="宋体" w:hAnsi="宋体" w:cs="宋体"/>
          <w:color w:val="auto"/>
          <w:kern w:val="0"/>
          <w:sz w:val="24"/>
          <w:highlight w:val="none"/>
        </w:rPr>
        <w:t>、扶梯底坑土建整改，费用由中标人承担。</w:t>
      </w:r>
    </w:p>
    <w:p>
      <w:pPr>
        <w:adjustRightInd w:val="0"/>
        <w:spacing w:line="46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5、扶梯安装费用中含工厂调试、厂检费用、扶梯安装及监检费用、质保期内年检费用等。</w:t>
      </w:r>
    </w:p>
    <w:p>
      <w:pPr>
        <w:adjustRightInd w:val="0"/>
        <w:spacing w:line="460" w:lineRule="exact"/>
        <w:ind w:firstLine="723" w:firstLineChars="300"/>
        <w:rPr>
          <w:rFonts w:ascii="宋体" w:hAnsi="宋体" w:cs="宋体"/>
          <w:b/>
          <w:color w:val="auto"/>
          <w:kern w:val="0"/>
          <w:sz w:val="24"/>
          <w:highlight w:val="none"/>
        </w:rPr>
      </w:pPr>
      <w:r>
        <w:rPr>
          <w:rFonts w:hint="eastAsia" w:ascii="宋体" w:hAnsi="宋体" w:cs="宋体"/>
          <w:b/>
          <w:color w:val="auto"/>
          <w:kern w:val="0"/>
          <w:sz w:val="24"/>
          <w:highlight w:val="none"/>
        </w:rPr>
        <w:t>6、投标人报价中需考虑含扶梯设备的</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eastAsia="zh-CN"/>
        </w:rPr>
        <w:t>（具体按投标</w:t>
      </w:r>
      <w:r>
        <w:rPr>
          <w:rFonts w:hint="eastAsia" w:ascii="宋体" w:hAnsi="宋体" w:cs="宋体"/>
          <w:b/>
          <w:color w:val="auto"/>
          <w:kern w:val="0"/>
          <w:sz w:val="24"/>
          <w:highlight w:val="none"/>
          <w:lang w:eastAsia="zh-CN"/>
        </w:rPr>
        <w:t>质保期）</w:t>
      </w:r>
      <w:r>
        <w:rPr>
          <w:rFonts w:hint="eastAsia" w:ascii="宋体" w:hAnsi="宋体" w:cs="宋体"/>
          <w:b/>
          <w:color w:val="auto"/>
          <w:kern w:val="0"/>
          <w:sz w:val="24"/>
          <w:highlight w:val="none"/>
        </w:rPr>
        <w:t>质保且还</w:t>
      </w:r>
      <w:r>
        <w:rPr>
          <w:rFonts w:hint="eastAsia" w:ascii="宋体" w:hAnsi="宋体" w:cs="宋体"/>
          <w:b/>
          <w:color w:val="auto"/>
          <w:kern w:val="0"/>
          <w:sz w:val="24"/>
          <w:highlight w:val="none"/>
        </w:rPr>
        <w:t>需含质保期内的扶梯</w:t>
      </w:r>
      <w:r>
        <w:rPr>
          <w:rFonts w:hint="eastAsia" w:ascii="宋体" w:hAnsi="宋体" w:cs="宋体"/>
          <w:b/>
          <w:color w:val="auto"/>
          <w:kern w:val="0"/>
          <w:sz w:val="24"/>
          <w:highlight w:val="none"/>
          <w:lang w:val="en-US" w:eastAsia="zh-CN"/>
        </w:rPr>
        <w:t>维护</w:t>
      </w:r>
      <w:r>
        <w:rPr>
          <w:rFonts w:hint="eastAsia" w:ascii="宋体" w:hAnsi="宋体" w:cs="宋体"/>
          <w:b/>
          <w:color w:val="auto"/>
          <w:kern w:val="0"/>
          <w:sz w:val="24"/>
          <w:highlight w:val="none"/>
        </w:rPr>
        <w:t>保养费用并为招标人提供相应服务。</w:t>
      </w:r>
    </w:p>
    <w:p>
      <w:pPr>
        <w:adjustRightInd w:val="0"/>
        <w:spacing w:line="460" w:lineRule="exact"/>
        <w:ind w:firstLine="720" w:firstLineChars="300"/>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、除合同另有规定外，此分项报价表已包含了本次招标项目的所有工作，以及为完成各分项工程所有明示或隐含的工作内容，投标人均应考虑在其所填报的综合单价；投标报价包括但不限于全部设备费、</w:t>
      </w:r>
      <w:r>
        <w:rPr>
          <w:rFonts w:hint="eastAsia" w:ascii="宋体" w:hAnsi="宋体" w:cs="宋体"/>
          <w:color w:val="auto"/>
          <w:kern w:val="0"/>
          <w:sz w:val="24"/>
          <w:highlight w:val="none"/>
          <w:lang w:val="en-US" w:eastAsia="zh-CN"/>
        </w:rPr>
        <w:t>质保和维护费、</w:t>
      </w:r>
      <w:r>
        <w:rPr>
          <w:rFonts w:hint="eastAsia" w:ascii="宋体" w:hAnsi="宋体" w:cs="宋体"/>
          <w:color w:val="auto"/>
          <w:kern w:val="0"/>
          <w:sz w:val="24"/>
          <w:highlight w:val="none"/>
        </w:rPr>
        <w:t>辅材费、设计费、包装费、运杂费</w:t>
      </w:r>
      <w:r>
        <w:rPr>
          <w:rFonts w:ascii="宋体" w:hAnsi="宋体" w:cs="宋体"/>
          <w:color w:val="auto"/>
          <w:kern w:val="0"/>
          <w:sz w:val="24"/>
          <w:highlight w:val="none"/>
        </w:rPr>
        <w:t>(运抵买方项目现场及保管费、保险费)、下力费或卸货费(含二次搬运费)、场内运输费、保险费、现场安装所需的水电费、照明费用、垃圾清运费、安装费(包括设备接地)、调试费、人员驻场费、培训费、资料费、规费、税金、质量监督部门监检、验收和发放使用许可证(领取准用证)的相关费用及为完成项目投标人认为需要的其他费用等。在安装、调试、验收过程中，如发现有漏项、缺件，应无条件、无偿补齐，所发生的一切费用，视为已包含在投标报价中，且并不因此而影响交付招标人使用的时</w:t>
      </w:r>
      <w:r>
        <w:rPr>
          <w:rFonts w:hint="eastAsia" w:ascii="宋体" w:hAnsi="宋体" w:cs="宋体"/>
          <w:color w:val="auto"/>
          <w:kern w:val="0"/>
          <w:sz w:val="24"/>
          <w:highlight w:val="none"/>
        </w:rPr>
        <w:t>间。</w:t>
      </w:r>
    </w:p>
    <w:p>
      <w:pPr>
        <w:adjustRightInd w:val="0"/>
        <w:spacing w:line="460" w:lineRule="exact"/>
        <w:ind w:firstLine="632" w:firstLineChars="300"/>
        <w:rPr>
          <w:rFonts w:ascii="宋体" w:hAnsi="宋体" w:cs="宋体"/>
          <w:b/>
          <w:color w:val="auto"/>
          <w:kern w:val="0"/>
          <w:szCs w:val="21"/>
          <w:highlight w:val="none"/>
        </w:rPr>
        <w:sectPr>
          <w:pgSz w:w="11907" w:h="16840"/>
          <w:pgMar w:top="1440" w:right="1644" w:bottom="1276" w:left="1797" w:header="851" w:footer="992" w:gutter="0"/>
          <w:cols w:space="720" w:num="1"/>
          <w:titlePg/>
          <w:docGrid w:linePitch="408" w:charSpace="0"/>
        </w:sectPr>
      </w:pPr>
    </w:p>
    <w:p>
      <w:pPr>
        <w:jc w:val="left"/>
        <w:rPr>
          <w:rFonts w:ascii="宋体" w:hAnsi="宋体" w:cs="宋体"/>
          <w:bCs/>
          <w:color w:val="auto"/>
          <w:sz w:val="32"/>
          <w:szCs w:val="32"/>
          <w:highlight w:val="none"/>
          <w:lang w:bidi="ar"/>
        </w:rPr>
      </w:pPr>
      <w:r>
        <w:rPr>
          <w:rFonts w:hint="eastAsia" w:ascii="宋体" w:hAnsi="宋体" w:cs="宋体"/>
          <w:bCs/>
          <w:color w:val="auto"/>
          <w:sz w:val="32"/>
          <w:szCs w:val="32"/>
          <w:highlight w:val="none"/>
          <w:lang w:bidi="ar"/>
        </w:rPr>
        <w:t>附件8</w:t>
      </w:r>
    </w:p>
    <w:p>
      <w:pPr>
        <w:spacing w:before="240" w:line="312" w:lineRule="auto"/>
        <w:jc w:val="center"/>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供应商信用承诺书</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为营造公开、公平、公正的公共资源交易环境，树立诚信守法的投标人形象，本人代表本单位作出以下承诺：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二、严格依照国家和省、市、县关于政府采购等方面的法律、法规、规章、规范性文件，参加公共资源交易招标投标活动；积极履行社会责任，促进廉政建设；</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三、严格遵守即时信息公示规定，及时更新公共资源交易中心主体信息库中信息；</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六、自觉接受政府部门、行业组织、社会公众、新闻舆论等监督；</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七、上述承诺已向本单位员工作了宣传教育；</w:t>
      </w:r>
    </w:p>
    <w:p>
      <w:pPr>
        <w:tabs>
          <w:tab w:val="left" w:pos="4860"/>
        </w:tabs>
        <w:spacing w:line="588" w:lineRule="exact"/>
        <w:ind w:right="1560"/>
        <w:jc w:val="left"/>
        <w:rPr>
          <w:rFonts w:ascii="宋体" w:hAnsi="宋体" w:cs="宋体"/>
          <w:b/>
          <w:color w:val="auto"/>
          <w:kern w:val="0"/>
          <w:sz w:val="24"/>
          <w:highlight w:val="none"/>
          <w:lang w:val="zh-CN" w:bidi="ar"/>
        </w:rPr>
      </w:pPr>
      <w:r>
        <w:rPr>
          <w:rFonts w:hint="eastAsia" w:ascii="宋体" w:hAnsi="宋体" w:cs="宋体"/>
          <w:b/>
          <w:color w:val="auto"/>
          <w:kern w:val="0"/>
          <w:sz w:val="24"/>
          <w:highlight w:val="none"/>
          <w:lang w:val="zh-CN" w:bidi="ar"/>
        </w:rPr>
        <w:t>如有违反上述承诺的不良行为，本单位同意将其予以上网公示。</w:t>
      </w:r>
    </w:p>
    <w:p>
      <w:pPr>
        <w:spacing w:line="360" w:lineRule="auto"/>
        <w:ind w:firstLine="3080" w:firstLineChars="11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360" w:lineRule="auto"/>
        <w:ind w:firstLine="3080" w:firstLineChars="1100"/>
        <w:jc w:val="center"/>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bidi="ar"/>
        </w:rPr>
        <w:t>投标供应商全称(盖公章)：</w:t>
      </w:r>
    </w:p>
    <w:p>
      <w:pPr>
        <w:spacing w:line="360" w:lineRule="auto"/>
        <w:ind w:firstLine="2240" w:firstLineChars="800"/>
        <w:rPr>
          <w:rFonts w:ascii="宋体" w:hAnsi="宋体" w:cs="宋体"/>
          <w:color w:val="auto"/>
          <w:sz w:val="28"/>
          <w:szCs w:val="28"/>
          <w:highlight w:val="none"/>
          <w:u w:val="single"/>
          <w:lang w:val="zh-CN"/>
        </w:rPr>
      </w:pPr>
      <w:r>
        <w:rPr>
          <w:rFonts w:hint="eastAsia" w:ascii="宋体" w:hAnsi="宋体" w:cs="宋体"/>
          <w:color w:val="auto"/>
          <w:kern w:val="0"/>
          <w:sz w:val="28"/>
          <w:szCs w:val="28"/>
          <w:highlight w:val="none"/>
          <w:lang w:val="zh-CN" w:bidi="ar"/>
        </w:rPr>
        <w:t>法定代表人</w:t>
      </w:r>
      <w:r>
        <w:rPr>
          <w:rFonts w:hint="eastAsia" w:ascii="宋体" w:hAnsi="宋体" w:cs="宋体"/>
          <w:color w:val="auto"/>
          <w:kern w:val="0"/>
          <w:sz w:val="28"/>
          <w:szCs w:val="28"/>
          <w:highlight w:val="none"/>
          <w:lang w:bidi="ar"/>
        </w:rPr>
        <w:t>或授权委托人</w:t>
      </w:r>
      <w:r>
        <w:rPr>
          <w:rFonts w:hint="eastAsia" w:ascii="宋体" w:hAnsi="宋体" w:cs="宋体"/>
          <w:color w:val="auto"/>
          <w:kern w:val="0"/>
          <w:sz w:val="28"/>
          <w:szCs w:val="28"/>
          <w:highlight w:val="none"/>
          <w:lang w:val="zh-CN" w:bidi="ar"/>
        </w:rPr>
        <w:t>（签字或盖章）：</w:t>
      </w:r>
    </w:p>
    <w:p>
      <w:pPr>
        <w:snapToGrid w:val="0"/>
        <w:spacing w:line="300" w:lineRule="auto"/>
        <w:ind w:firstLine="3920" w:firstLineChars="1400"/>
        <w:outlineLvl w:val="0"/>
        <w:rPr>
          <w:rFonts w:ascii="宋体" w:hAnsi="宋体" w:cs="宋体"/>
          <w:color w:val="auto"/>
          <w:sz w:val="32"/>
          <w:szCs w:val="32"/>
          <w:highlight w:val="none"/>
        </w:rPr>
      </w:pPr>
      <w:r>
        <w:rPr>
          <w:rFonts w:hint="eastAsia" w:ascii="宋体" w:hAnsi="宋体" w:cs="宋体"/>
          <w:color w:val="auto"/>
          <w:kern w:val="0"/>
          <w:sz w:val="28"/>
          <w:szCs w:val="28"/>
          <w:highlight w:val="none"/>
          <w:lang w:val="zh-CN" w:bidi="ar"/>
        </w:rPr>
        <w:t>时间：  年  月   日</w:t>
      </w:r>
    </w:p>
    <w:p>
      <w:pPr>
        <w:snapToGrid w:val="0"/>
        <w:spacing w:line="300" w:lineRule="auto"/>
        <w:outlineLvl w:val="0"/>
        <w:rPr>
          <w:rFonts w:ascii="宋体" w:hAnsi="宋体" w:cs="宋体"/>
          <w:color w:val="auto"/>
          <w:sz w:val="32"/>
          <w:szCs w:val="32"/>
          <w:highlight w:val="none"/>
        </w:rPr>
      </w:pPr>
    </w:p>
    <w:p>
      <w:pPr>
        <w:snapToGrid w:val="0"/>
        <w:spacing w:line="300" w:lineRule="auto"/>
        <w:outlineLvl w:val="0"/>
        <w:rPr>
          <w:rFonts w:ascii="宋体" w:hAnsi="宋体" w:cs="宋体"/>
          <w:color w:val="auto"/>
          <w:sz w:val="32"/>
          <w:szCs w:val="32"/>
          <w:highlight w:val="none"/>
        </w:rPr>
      </w:pPr>
      <w:r>
        <w:rPr>
          <w:rFonts w:hint="eastAsia" w:ascii="宋体" w:hAnsi="宋体" w:cs="宋体"/>
          <w:color w:val="auto"/>
          <w:sz w:val="32"/>
          <w:szCs w:val="32"/>
          <w:highlight w:val="none"/>
        </w:rPr>
        <w:t>附件9</w:t>
      </w:r>
    </w:p>
    <w:p>
      <w:pPr>
        <w:jc w:val="center"/>
        <w:rPr>
          <w:rFonts w:ascii="宋体" w:hAnsi="宋体" w:cs="宋体"/>
          <w:bCs/>
          <w:color w:val="auto"/>
          <w:sz w:val="44"/>
          <w:szCs w:val="44"/>
          <w:highlight w:val="none"/>
        </w:rPr>
      </w:pPr>
      <w:r>
        <w:rPr>
          <w:rFonts w:hint="eastAsia" w:ascii="宋体" w:hAnsi="宋体" w:cs="宋体"/>
          <w:bCs/>
          <w:color w:val="auto"/>
          <w:sz w:val="44"/>
          <w:szCs w:val="44"/>
          <w:highlight w:val="none"/>
        </w:rPr>
        <w:t>质疑函范本</w:t>
      </w:r>
    </w:p>
    <w:p>
      <w:pPr>
        <w:adjustRightInd w:val="0"/>
        <w:snapToGrid w:val="0"/>
        <w:spacing w:before="312" w:beforeLines="100"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地址：邮编：</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联系人：联系电话：</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地址：邮编：</w:t>
      </w:r>
    </w:p>
    <w:p>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质疑项目的编号：包号：</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招标人名称：</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p>
    <w:p>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p>
    <w:p>
      <w:pPr>
        <w:adjustRightInd w:val="0"/>
        <w:snapToGrid w:val="0"/>
        <w:spacing w:line="360" w:lineRule="auto"/>
        <w:rPr>
          <w:rFonts w:ascii="宋体" w:hAnsi="宋体" w:cs="宋体"/>
          <w:color w:val="auto"/>
          <w:sz w:val="32"/>
          <w:szCs w:val="32"/>
          <w:highlight w:val="none"/>
        </w:rPr>
      </w:pP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p>
    <w:p>
      <w:pPr>
        <w:adjustRightInd w:val="0"/>
        <w:snapToGrid w:val="0"/>
        <w:spacing w:line="360" w:lineRule="auto"/>
        <w:rPr>
          <w:rFonts w:ascii="宋体" w:hAnsi="宋体" w:cs="宋体"/>
          <w:color w:val="auto"/>
          <w:sz w:val="32"/>
          <w:szCs w:val="32"/>
          <w:highlight w:val="none"/>
          <w:u w:val="dotted"/>
        </w:rPr>
      </w:pP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pPr>
        <w:rPr>
          <w:rFonts w:ascii="宋体" w:hAnsi="宋体" w:cs="宋体"/>
          <w:color w:val="auto"/>
          <w:sz w:val="32"/>
          <w:szCs w:val="32"/>
          <w:highlight w:val="none"/>
        </w:rPr>
      </w:pPr>
    </w:p>
    <w:p>
      <w:pPr>
        <w:pStyle w:val="35"/>
        <w:ind w:firstLine="240"/>
        <w:rPr>
          <w:rFonts w:ascii="宋体" w:hAnsi="宋体" w:cs="宋体"/>
          <w:color w:val="auto"/>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pPr>
        <w:widowControl/>
        <w:ind w:firstLine="640" w:firstLineChars="200"/>
        <w:jc w:val="left"/>
        <w:rPr>
          <w:rFonts w:ascii="宋体" w:hAnsi="宋体" w:cs="宋体"/>
          <w:color w:val="auto"/>
          <w:sz w:val="28"/>
          <w:szCs w:val="28"/>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r>
      <mc:AlternateContent>
        <mc:Choice Requires="wps">
          <w:drawing>
            <wp:anchor distT="0" distB="0" distL="0" distR="0" simplePos="0" relativeHeight="251661312" behindDoc="0" locked="0" layoutInCell="1" allowOverlap="1">
              <wp:simplePos x="0" y="0"/>
              <wp:positionH relativeFrom="page">
                <wp:align>right</wp:align>
              </wp:positionH>
              <wp:positionV relativeFrom="page">
                <wp:align>top</wp:align>
              </wp:positionV>
              <wp:extent cx="443865" cy="443865"/>
              <wp:effectExtent l="0" t="0" r="0" b="16510"/>
              <wp:wrapNone/>
              <wp:docPr id="5" name="文本框 5"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1312;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Dv7GtQAAAADAQAADwAAAAAAAAABACAAAAAiAAAAZHJzL2Rv&#10;d25yZXYueG1sUEsBAhQAFAAAAAgAh07iQCD8Rt8+AgAAagQAAA4AAAAAAAAAAQAgAAAAIwEAAGRy&#10;cy9lMm9Eb2MueG1sUEsFBgAAAAAGAAYAWQEAANMFAAAAAA==&#10;">
              <v:fill on="f" focussize="0,0"/>
              <v:stroke on="f"/>
              <v:imagedata o:title=""/>
              <o:lock v:ext="edit" aspectratio="f"/>
              <v:textbox inset="0mm,15pt,20pt,0mm" style="mso-fit-shape-to-text:t;">
                <w:txbxContent>
                  <w:p>
                    <w:pPr>
                      <w:rPr>
                        <w:rFonts w:ascii="Arial" w:hAnsi="Arial" w:eastAsia="Arial" w:cs="Arial"/>
                        <w:color w:val="000000"/>
                        <w:sz w:val="16"/>
                        <w:szCs w:val="1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60288" behindDoc="0" locked="0" layoutInCell="1" allowOverlap="1">
              <wp:simplePos x="0" y="0"/>
              <wp:positionH relativeFrom="page">
                <wp:align>right</wp:align>
              </wp:positionH>
              <wp:positionV relativeFrom="page">
                <wp:align>top</wp:align>
              </wp:positionV>
              <wp:extent cx="443865" cy="443865"/>
              <wp:effectExtent l="0" t="0" r="0" b="16510"/>
              <wp:wrapNone/>
              <wp:docPr id="4" name="文本框 4"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0288;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7+xrUAAAAAwEAAA8AAAAAAAAAAQAgAAAAIgAAAGRycy9k&#10;b3ducmV2LnhtbFBLAQIUABQAAAAIAIdO4kAKwCJ3PwIAAGoEAAAOAAAAAAAAAAEAIAAAACMBAABk&#10;cnMvZTJvRG9jLnhtbFBLBQYAAAAABgAGAFkBAADUBQAAAAA=&#10;">
              <v:fill on="f" focussize="0,0"/>
              <v:stroke on="f"/>
              <v:imagedata o:title=""/>
              <o:lock v:ext="edit" aspectratio="f"/>
              <v:textbox inset="0mm,15pt,20pt,0mm" style="mso-fit-shape-to-text:t;">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59264" behindDoc="0" locked="0" layoutInCell="1" allowOverlap="1">
              <wp:simplePos x="0" y="0"/>
              <wp:positionH relativeFrom="page">
                <wp:align>right</wp:align>
              </wp:positionH>
              <wp:positionV relativeFrom="page">
                <wp:align>top</wp:align>
              </wp:positionV>
              <wp:extent cx="443865" cy="443865"/>
              <wp:effectExtent l="0" t="0" r="0" b="16510"/>
              <wp:wrapNone/>
              <wp:docPr id="3" name="文本框 3"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59264;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8O/sa1AAAAAMBAAAPAAAAAAAAAAEAIAAAACIAAABkcnMv&#10;ZG93bnJldi54bWxQSwECFAAUAAAACACHTuJAXnj8mEACAABqBAAADgAAAAAAAAABACAAAAAjAQAA&#10;ZHJzL2Uyb0RvYy54bWxQSwUGAAAAAAYABgBZAQAA1QUAAAAA&#10;">
              <v:fill on="f" focussize="0,0"/>
              <v:stroke on="f"/>
              <v:imagedata o:title=""/>
              <o:lock v:ext="edit" aspectratio="f"/>
              <v:textbox inset="0mm,15pt,20pt,0mm" style="mso-fit-shape-to-text:t;">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D7C6B"/>
    <w:multiLevelType w:val="multilevel"/>
    <w:tmpl w:val="30BD7C6B"/>
    <w:lvl w:ilvl="0" w:tentative="0">
      <w:start w:val="1"/>
      <w:numFmt w:val="japaneseCounting"/>
      <w:lvlText w:val="第%1条"/>
      <w:lvlJc w:val="left"/>
      <w:pPr>
        <w:ind w:left="1172" w:hanging="750"/>
      </w:pPr>
      <w:rPr>
        <w:rFonts w:hint="default" w:hAnsi="宋体"/>
        <w:b/>
        <w:color w:val="000000"/>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38DA3F37"/>
    <w:multiLevelType w:val="multilevel"/>
    <w:tmpl w:val="38DA3F37"/>
    <w:lvl w:ilvl="0" w:tentative="0">
      <w:start w:val="1"/>
      <w:numFmt w:val="bullet"/>
      <w:pStyle w:val="129"/>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TQ3M2MyOTlmMGVhNjhkZmE5ZWE1NGZmOTI0MDMifQ=="/>
    <w:docVar w:name="KGWebUrl" w:val="http://jszfcg.jsczt.cn/jszc/gateWay/joffice/office?access_token=300b1800-803d-425e-b7b3-99806d8150e4"/>
    <w:docVar w:name="KSO_WPS_MARK_KEY" w:val="dc9524e9-0d5f-4bc5-b642-c69acf49d3a8"/>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13A7"/>
    <w:rsid w:val="00071E47"/>
    <w:rsid w:val="00071F57"/>
    <w:rsid w:val="0007260D"/>
    <w:rsid w:val="00073424"/>
    <w:rsid w:val="00073BED"/>
    <w:rsid w:val="00074988"/>
    <w:rsid w:val="0007540B"/>
    <w:rsid w:val="00075842"/>
    <w:rsid w:val="00076AE9"/>
    <w:rsid w:val="00076F71"/>
    <w:rsid w:val="0007742F"/>
    <w:rsid w:val="0008009E"/>
    <w:rsid w:val="0008018D"/>
    <w:rsid w:val="00081396"/>
    <w:rsid w:val="00082843"/>
    <w:rsid w:val="00082CBF"/>
    <w:rsid w:val="00083333"/>
    <w:rsid w:val="000839F1"/>
    <w:rsid w:val="00084436"/>
    <w:rsid w:val="00084DE0"/>
    <w:rsid w:val="00085157"/>
    <w:rsid w:val="00085D79"/>
    <w:rsid w:val="00085EFE"/>
    <w:rsid w:val="00085F42"/>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58DC"/>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458D"/>
    <w:rsid w:val="000E66B5"/>
    <w:rsid w:val="000E6876"/>
    <w:rsid w:val="000E69A2"/>
    <w:rsid w:val="000E6D6C"/>
    <w:rsid w:val="000E76D0"/>
    <w:rsid w:val="000E7DCC"/>
    <w:rsid w:val="000F07A2"/>
    <w:rsid w:val="000F11C4"/>
    <w:rsid w:val="000F1FA3"/>
    <w:rsid w:val="000F3E9B"/>
    <w:rsid w:val="000F4096"/>
    <w:rsid w:val="000F4358"/>
    <w:rsid w:val="000F4E0F"/>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AF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4AE9"/>
    <w:rsid w:val="00145A1C"/>
    <w:rsid w:val="001462E0"/>
    <w:rsid w:val="00146479"/>
    <w:rsid w:val="00146643"/>
    <w:rsid w:val="00147766"/>
    <w:rsid w:val="00152826"/>
    <w:rsid w:val="001546EC"/>
    <w:rsid w:val="0015474F"/>
    <w:rsid w:val="00154AF5"/>
    <w:rsid w:val="001550C0"/>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10A"/>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57C2"/>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E72E5"/>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681"/>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6EF8"/>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582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89"/>
    <w:rsid w:val="002929E4"/>
    <w:rsid w:val="0029448F"/>
    <w:rsid w:val="002953BA"/>
    <w:rsid w:val="002973FD"/>
    <w:rsid w:val="00297900"/>
    <w:rsid w:val="002A11B9"/>
    <w:rsid w:val="002A1226"/>
    <w:rsid w:val="002A156B"/>
    <w:rsid w:val="002A2121"/>
    <w:rsid w:val="002A221F"/>
    <w:rsid w:val="002A27C2"/>
    <w:rsid w:val="002A28DD"/>
    <w:rsid w:val="002A31EB"/>
    <w:rsid w:val="002A36AA"/>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19E"/>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669"/>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C0"/>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D59CF"/>
    <w:rsid w:val="003E017B"/>
    <w:rsid w:val="003E154C"/>
    <w:rsid w:val="003E3316"/>
    <w:rsid w:val="003E36FF"/>
    <w:rsid w:val="003E3A6B"/>
    <w:rsid w:val="003E3FE6"/>
    <w:rsid w:val="003E4653"/>
    <w:rsid w:val="003E4C9C"/>
    <w:rsid w:val="003E5334"/>
    <w:rsid w:val="003E5B3D"/>
    <w:rsid w:val="003E5F84"/>
    <w:rsid w:val="003E6B15"/>
    <w:rsid w:val="003E6C59"/>
    <w:rsid w:val="003E6E66"/>
    <w:rsid w:val="003E71C6"/>
    <w:rsid w:val="003E75C3"/>
    <w:rsid w:val="003E7911"/>
    <w:rsid w:val="003E7EB7"/>
    <w:rsid w:val="003F1302"/>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32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4A50"/>
    <w:rsid w:val="00475BAC"/>
    <w:rsid w:val="00477808"/>
    <w:rsid w:val="00477956"/>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5BB"/>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D5EDE"/>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292E"/>
    <w:rsid w:val="00523930"/>
    <w:rsid w:val="00524276"/>
    <w:rsid w:val="005243FD"/>
    <w:rsid w:val="005250D8"/>
    <w:rsid w:val="005250E0"/>
    <w:rsid w:val="00525373"/>
    <w:rsid w:val="005263BF"/>
    <w:rsid w:val="005279E2"/>
    <w:rsid w:val="00530D01"/>
    <w:rsid w:val="00533196"/>
    <w:rsid w:val="005347D0"/>
    <w:rsid w:val="005365CA"/>
    <w:rsid w:val="00536991"/>
    <w:rsid w:val="00536EFE"/>
    <w:rsid w:val="00537500"/>
    <w:rsid w:val="00540316"/>
    <w:rsid w:val="0054065A"/>
    <w:rsid w:val="00540EB0"/>
    <w:rsid w:val="00541004"/>
    <w:rsid w:val="00541053"/>
    <w:rsid w:val="00542949"/>
    <w:rsid w:val="00542CF0"/>
    <w:rsid w:val="005467BF"/>
    <w:rsid w:val="00546EEA"/>
    <w:rsid w:val="00547737"/>
    <w:rsid w:val="005501FD"/>
    <w:rsid w:val="005505B1"/>
    <w:rsid w:val="00551BF3"/>
    <w:rsid w:val="00553F39"/>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35AC"/>
    <w:rsid w:val="00575A5E"/>
    <w:rsid w:val="00575EC7"/>
    <w:rsid w:val="00576784"/>
    <w:rsid w:val="0057779B"/>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C57"/>
    <w:rsid w:val="005B3D9B"/>
    <w:rsid w:val="005B55B2"/>
    <w:rsid w:val="005B71E3"/>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499"/>
    <w:rsid w:val="00607679"/>
    <w:rsid w:val="00612F49"/>
    <w:rsid w:val="0061417D"/>
    <w:rsid w:val="0061547A"/>
    <w:rsid w:val="00616D1C"/>
    <w:rsid w:val="00616FD4"/>
    <w:rsid w:val="00621416"/>
    <w:rsid w:val="0062198B"/>
    <w:rsid w:val="0062417D"/>
    <w:rsid w:val="00625AFB"/>
    <w:rsid w:val="00626796"/>
    <w:rsid w:val="0062722E"/>
    <w:rsid w:val="00627F04"/>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4BC"/>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46F"/>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3983"/>
    <w:rsid w:val="006A4770"/>
    <w:rsid w:val="006A4FB4"/>
    <w:rsid w:val="006A534B"/>
    <w:rsid w:val="006A68F1"/>
    <w:rsid w:val="006A6A75"/>
    <w:rsid w:val="006A6C5C"/>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023"/>
    <w:rsid w:val="00706370"/>
    <w:rsid w:val="00706C55"/>
    <w:rsid w:val="00707165"/>
    <w:rsid w:val="00707232"/>
    <w:rsid w:val="0071105F"/>
    <w:rsid w:val="00711215"/>
    <w:rsid w:val="0071139A"/>
    <w:rsid w:val="0071149B"/>
    <w:rsid w:val="007121B2"/>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049"/>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2293"/>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2AEC"/>
    <w:rsid w:val="007963DB"/>
    <w:rsid w:val="00796F1B"/>
    <w:rsid w:val="00797A4E"/>
    <w:rsid w:val="00797C4E"/>
    <w:rsid w:val="007A0307"/>
    <w:rsid w:val="007A043A"/>
    <w:rsid w:val="007A142B"/>
    <w:rsid w:val="007A1CBE"/>
    <w:rsid w:val="007A3148"/>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28C"/>
    <w:rsid w:val="007C29A3"/>
    <w:rsid w:val="007C2CA3"/>
    <w:rsid w:val="007C3230"/>
    <w:rsid w:val="007C3527"/>
    <w:rsid w:val="007C57CB"/>
    <w:rsid w:val="007C5BAD"/>
    <w:rsid w:val="007C5DDE"/>
    <w:rsid w:val="007C60DB"/>
    <w:rsid w:val="007C6147"/>
    <w:rsid w:val="007C6AD5"/>
    <w:rsid w:val="007C6C85"/>
    <w:rsid w:val="007C72FF"/>
    <w:rsid w:val="007C7827"/>
    <w:rsid w:val="007C795E"/>
    <w:rsid w:val="007C7DAB"/>
    <w:rsid w:val="007D23CA"/>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2A0B"/>
    <w:rsid w:val="0081389D"/>
    <w:rsid w:val="0081484F"/>
    <w:rsid w:val="008148FE"/>
    <w:rsid w:val="00814D78"/>
    <w:rsid w:val="00816A3D"/>
    <w:rsid w:val="0081734C"/>
    <w:rsid w:val="00817506"/>
    <w:rsid w:val="0082029A"/>
    <w:rsid w:val="00820BB0"/>
    <w:rsid w:val="008212A9"/>
    <w:rsid w:val="00821573"/>
    <w:rsid w:val="00821FB3"/>
    <w:rsid w:val="00822D58"/>
    <w:rsid w:val="0082317E"/>
    <w:rsid w:val="00823C06"/>
    <w:rsid w:val="008252BC"/>
    <w:rsid w:val="0082546F"/>
    <w:rsid w:val="00825AB3"/>
    <w:rsid w:val="00827110"/>
    <w:rsid w:val="008275B9"/>
    <w:rsid w:val="008318FD"/>
    <w:rsid w:val="00831B6F"/>
    <w:rsid w:val="00831D42"/>
    <w:rsid w:val="00832700"/>
    <w:rsid w:val="00832C60"/>
    <w:rsid w:val="008343B3"/>
    <w:rsid w:val="00834B17"/>
    <w:rsid w:val="00837CF4"/>
    <w:rsid w:val="008407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57571"/>
    <w:rsid w:val="0086108F"/>
    <w:rsid w:val="0086125B"/>
    <w:rsid w:val="0086208A"/>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517"/>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0765"/>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42"/>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896"/>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4469"/>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24A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DFC"/>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407"/>
    <w:rsid w:val="00A42683"/>
    <w:rsid w:val="00A433FE"/>
    <w:rsid w:val="00A43A10"/>
    <w:rsid w:val="00A44493"/>
    <w:rsid w:val="00A451F1"/>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5D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2775"/>
    <w:rsid w:val="00AA3276"/>
    <w:rsid w:val="00AA3570"/>
    <w:rsid w:val="00AA35C9"/>
    <w:rsid w:val="00AA3A91"/>
    <w:rsid w:val="00AA460B"/>
    <w:rsid w:val="00AA46C1"/>
    <w:rsid w:val="00AA490E"/>
    <w:rsid w:val="00AA530A"/>
    <w:rsid w:val="00AA6E1C"/>
    <w:rsid w:val="00AB18D4"/>
    <w:rsid w:val="00AB3627"/>
    <w:rsid w:val="00AB3E86"/>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AFB"/>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5F"/>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9C5"/>
    <w:rsid w:val="00B531C3"/>
    <w:rsid w:val="00B53A07"/>
    <w:rsid w:val="00B5466F"/>
    <w:rsid w:val="00B55126"/>
    <w:rsid w:val="00B551DA"/>
    <w:rsid w:val="00B5533E"/>
    <w:rsid w:val="00B555CA"/>
    <w:rsid w:val="00B55B05"/>
    <w:rsid w:val="00B573C7"/>
    <w:rsid w:val="00B577C5"/>
    <w:rsid w:val="00B60A6F"/>
    <w:rsid w:val="00B60E4F"/>
    <w:rsid w:val="00B61197"/>
    <w:rsid w:val="00B6175A"/>
    <w:rsid w:val="00B62C0C"/>
    <w:rsid w:val="00B62C59"/>
    <w:rsid w:val="00B62CFD"/>
    <w:rsid w:val="00B64334"/>
    <w:rsid w:val="00B6584F"/>
    <w:rsid w:val="00B65F94"/>
    <w:rsid w:val="00B66498"/>
    <w:rsid w:val="00B67D26"/>
    <w:rsid w:val="00B71734"/>
    <w:rsid w:val="00B71859"/>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4850"/>
    <w:rsid w:val="00B94F21"/>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238"/>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3A4"/>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87498"/>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3E3A"/>
    <w:rsid w:val="00CC5191"/>
    <w:rsid w:val="00CC61D1"/>
    <w:rsid w:val="00CC6E65"/>
    <w:rsid w:val="00CC7E3E"/>
    <w:rsid w:val="00CD01B5"/>
    <w:rsid w:val="00CD0372"/>
    <w:rsid w:val="00CD0F30"/>
    <w:rsid w:val="00CD125A"/>
    <w:rsid w:val="00CD148C"/>
    <w:rsid w:val="00CD2F6F"/>
    <w:rsid w:val="00CD4609"/>
    <w:rsid w:val="00CD5B2D"/>
    <w:rsid w:val="00CD67CA"/>
    <w:rsid w:val="00CD768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9C9"/>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67F0"/>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34F2"/>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3BF"/>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4532"/>
    <w:rsid w:val="00EA4B2C"/>
    <w:rsid w:val="00EA6022"/>
    <w:rsid w:val="00EA6C85"/>
    <w:rsid w:val="00EA78F6"/>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EB"/>
    <w:rsid w:val="00EC2CFD"/>
    <w:rsid w:val="00EC3015"/>
    <w:rsid w:val="00EC3E88"/>
    <w:rsid w:val="00EC45BC"/>
    <w:rsid w:val="00EC46C3"/>
    <w:rsid w:val="00EC4774"/>
    <w:rsid w:val="00EC5EF6"/>
    <w:rsid w:val="00EC6042"/>
    <w:rsid w:val="00EC669F"/>
    <w:rsid w:val="00EC7751"/>
    <w:rsid w:val="00ED05F6"/>
    <w:rsid w:val="00ED2410"/>
    <w:rsid w:val="00ED3ADF"/>
    <w:rsid w:val="00ED553C"/>
    <w:rsid w:val="00ED555E"/>
    <w:rsid w:val="00ED633A"/>
    <w:rsid w:val="00ED7610"/>
    <w:rsid w:val="00ED7758"/>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259C"/>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0D08"/>
    <w:rsid w:val="00F52CE1"/>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580A"/>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4E2D"/>
    <w:rsid w:val="00FA5CDA"/>
    <w:rsid w:val="00FA7701"/>
    <w:rsid w:val="00FB03A2"/>
    <w:rsid w:val="00FB04CD"/>
    <w:rsid w:val="00FB0889"/>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89D"/>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477BCB"/>
    <w:rsid w:val="0165774F"/>
    <w:rsid w:val="017513A9"/>
    <w:rsid w:val="01B11E35"/>
    <w:rsid w:val="01C62B3E"/>
    <w:rsid w:val="028407B3"/>
    <w:rsid w:val="02F2197A"/>
    <w:rsid w:val="03375244"/>
    <w:rsid w:val="03E62EB1"/>
    <w:rsid w:val="03EC63C9"/>
    <w:rsid w:val="0413149A"/>
    <w:rsid w:val="0422003D"/>
    <w:rsid w:val="042913CB"/>
    <w:rsid w:val="054E19A4"/>
    <w:rsid w:val="05771562"/>
    <w:rsid w:val="05852CF4"/>
    <w:rsid w:val="05927A85"/>
    <w:rsid w:val="060F639F"/>
    <w:rsid w:val="066E7569"/>
    <w:rsid w:val="06B37672"/>
    <w:rsid w:val="07510465"/>
    <w:rsid w:val="078F3BF1"/>
    <w:rsid w:val="080E26A1"/>
    <w:rsid w:val="088C088F"/>
    <w:rsid w:val="09C1409A"/>
    <w:rsid w:val="0A743D85"/>
    <w:rsid w:val="0B961C47"/>
    <w:rsid w:val="0BD55F69"/>
    <w:rsid w:val="0BF56037"/>
    <w:rsid w:val="0C152235"/>
    <w:rsid w:val="0C3B6140"/>
    <w:rsid w:val="0CD848B8"/>
    <w:rsid w:val="0D504342"/>
    <w:rsid w:val="0D870F11"/>
    <w:rsid w:val="0DB02216"/>
    <w:rsid w:val="0DC5128C"/>
    <w:rsid w:val="0DD9114E"/>
    <w:rsid w:val="0E0408E9"/>
    <w:rsid w:val="0E1C525D"/>
    <w:rsid w:val="0E260891"/>
    <w:rsid w:val="0E725164"/>
    <w:rsid w:val="0EFE4AC2"/>
    <w:rsid w:val="101F37A7"/>
    <w:rsid w:val="10D02C05"/>
    <w:rsid w:val="11252F1A"/>
    <w:rsid w:val="11802A9D"/>
    <w:rsid w:val="11A27ED6"/>
    <w:rsid w:val="11D14F29"/>
    <w:rsid w:val="12A065D5"/>
    <w:rsid w:val="12B207DE"/>
    <w:rsid w:val="12C66037"/>
    <w:rsid w:val="12D91221"/>
    <w:rsid w:val="13407938"/>
    <w:rsid w:val="13693592"/>
    <w:rsid w:val="137E6AE5"/>
    <w:rsid w:val="13C366E3"/>
    <w:rsid w:val="143F0797"/>
    <w:rsid w:val="1451773B"/>
    <w:rsid w:val="149418A3"/>
    <w:rsid w:val="14CB202B"/>
    <w:rsid w:val="14CD3A88"/>
    <w:rsid w:val="14EB5FBC"/>
    <w:rsid w:val="15702678"/>
    <w:rsid w:val="15831547"/>
    <w:rsid w:val="159113BF"/>
    <w:rsid w:val="161404C8"/>
    <w:rsid w:val="161A6DC6"/>
    <w:rsid w:val="172A2E7A"/>
    <w:rsid w:val="172C1744"/>
    <w:rsid w:val="17476AD5"/>
    <w:rsid w:val="176651A7"/>
    <w:rsid w:val="17B2302E"/>
    <w:rsid w:val="17B23574"/>
    <w:rsid w:val="18345ABA"/>
    <w:rsid w:val="1851727E"/>
    <w:rsid w:val="186A5405"/>
    <w:rsid w:val="18932E60"/>
    <w:rsid w:val="189645C0"/>
    <w:rsid w:val="18C82B09"/>
    <w:rsid w:val="18DA146E"/>
    <w:rsid w:val="18FB5139"/>
    <w:rsid w:val="192F2B88"/>
    <w:rsid w:val="194B16A1"/>
    <w:rsid w:val="19762565"/>
    <w:rsid w:val="19AF5A77"/>
    <w:rsid w:val="19B74463"/>
    <w:rsid w:val="19BC232B"/>
    <w:rsid w:val="1A4505F1"/>
    <w:rsid w:val="1A7E4FCF"/>
    <w:rsid w:val="1A8211B0"/>
    <w:rsid w:val="1A8A42CA"/>
    <w:rsid w:val="1ABE7FAC"/>
    <w:rsid w:val="1B217338"/>
    <w:rsid w:val="1B3D037C"/>
    <w:rsid w:val="1B4C36BB"/>
    <w:rsid w:val="1B5A5C6B"/>
    <w:rsid w:val="1BAB6C8D"/>
    <w:rsid w:val="1C591711"/>
    <w:rsid w:val="1C6F2165"/>
    <w:rsid w:val="1C7F0946"/>
    <w:rsid w:val="1CBD1967"/>
    <w:rsid w:val="1D0936F0"/>
    <w:rsid w:val="1D126FDD"/>
    <w:rsid w:val="1D2F75FB"/>
    <w:rsid w:val="1D8B05A9"/>
    <w:rsid w:val="1DCA664E"/>
    <w:rsid w:val="1DF12B02"/>
    <w:rsid w:val="1E450182"/>
    <w:rsid w:val="1E5D0198"/>
    <w:rsid w:val="1EC446A5"/>
    <w:rsid w:val="1EDA53E2"/>
    <w:rsid w:val="1EE07F7F"/>
    <w:rsid w:val="1F4F72C9"/>
    <w:rsid w:val="1F5327B5"/>
    <w:rsid w:val="1FA977BF"/>
    <w:rsid w:val="1FC3402A"/>
    <w:rsid w:val="1FE94A78"/>
    <w:rsid w:val="20083BF5"/>
    <w:rsid w:val="206E2E3C"/>
    <w:rsid w:val="20C95670"/>
    <w:rsid w:val="20D06740"/>
    <w:rsid w:val="20EF0E4F"/>
    <w:rsid w:val="20FB4104"/>
    <w:rsid w:val="21050673"/>
    <w:rsid w:val="213F215E"/>
    <w:rsid w:val="21493877"/>
    <w:rsid w:val="214F7FD4"/>
    <w:rsid w:val="216D6944"/>
    <w:rsid w:val="21EF2BF7"/>
    <w:rsid w:val="22386288"/>
    <w:rsid w:val="22503C1D"/>
    <w:rsid w:val="226D4721"/>
    <w:rsid w:val="227B3D94"/>
    <w:rsid w:val="227C521C"/>
    <w:rsid w:val="22E23F44"/>
    <w:rsid w:val="234731C4"/>
    <w:rsid w:val="239E5129"/>
    <w:rsid w:val="24400E1F"/>
    <w:rsid w:val="247D51DF"/>
    <w:rsid w:val="247E0175"/>
    <w:rsid w:val="248520D7"/>
    <w:rsid w:val="25335C24"/>
    <w:rsid w:val="25755DC7"/>
    <w:rsid w:val="257A1221"/>
    <w:rsid w:val="258F538D"/>
    <w:rsid w:val="25E015F6"/>
    <w:rsid w:val="26E0484D"/>
    <w:rsid w:val="27264850"/>
    <w:rsid w:val="27443528"/>
    <w:rsid w:val="27482DA8"/>
    <w:rsid w:val="27595274"/>
    <w:rsid w:val="28174256"/>
    <w:rsid w:val="28312E15"/>
    <w:rsid w:val="283C1DD8"/>
    <w:rsid w:val="28D21BF7"/>
    <w:rsid w:val="28E87C1A"/>
    <w:rsid w:val="2A0C4820"/>
    <w:rsid w:val="2A494F4A"/>
    <w:rsid w:val="2A510C9C"/>
    <w:rsid w:val="2A6C52BE"/>
    <w:rsid w:val="2A805769"/>
    <w:rsid w:val="2ADA11FD"/>
    <w:rsid w:val="2AE03E77"/>
    <w:rsid w:val="2B02634F"/>
    <w:rsid w:val="2B4104F9"/>
    <w:rsid w:val="2BB03D3C"/>
    <w:rsid w:val="2C0734F1"/>
    <w:rsid w:val="2C1D6BD5"/>
    <w:rsid w:val="2C546A99"/>
    <w:rsid w:val="2CA44507"/>
    <w:rsid w:val="2CDC0F6F"/>
    <w:rsid w:val="2CE46631"/>
    <w:rsid w:val="2D3A16A4"/>
    <w:rsid w:val="2D606C10"/>
    <w:rsid w:val="2D6D5C07"/>
    <w:rsid w:val="2D7A3971"/>
    <w:rsid w:val="2EB8264A"/>
    <w:rsid w:val="2F110B7B"/>
    <w:rsid w:val="2F155F21"/>
    <w:rsid w:val="2FA87B82"/>
    <w:rsid w:val="30235B53"/>
    <w:rsid w:val="30E443A9"/>
    <w:rsid w:val="30F85AFE"/>
    <w:rsid w:val="318D11BE"/>
    <w:rsid w:val="31996FDB"/>
    <w:rsid w:val="321D7FAE"/>
    <w:rsid w:val="32383A46"/>
    <w:rsid w:val="3296737C"/>
    <w:rsid w:val="32C00BD6"/>
    <w:rsid w:val="32D84909"/>
    <w:rsid w:val="33305A23"/>
    <w:rsid w:val="33753436"/>
    <w:rsid w:val="337A31A4"/>
    <w:rsid w:val="33842D58"/>
    <w:rsid w:val="33C2377D"/>
    <w:rsid w:val="33E6570C"/>
    <w:rsid w:val="33F14B85"/>
    <w:rsid w:val="34293A3F"/>
    <w:rsid w:val="344D1113"/>
    <w:rsid w:val="347035F7"/>
    <w:rsid w:val="348E47AF"/>
    <w:rsid w:val="34DF325D"/>
    <w:rsid w:val="36297FEC"/>
    <w:rsid w:val="364C66D0"/>
    <w:rsid w:val="36566100"/>
    <w:rsid w:val="365F17D9"/>
    <w:rsid w:val="36FA25D0"/>
    <w:rsid w:val="37276106"/>
    <w:rsid w:val="3795459A"/>
    <w:rsid w:val="384C2872"/>
    <w:rsid w:val="3947656F"/>
    <w:rsid w:val="398840B5"/>
    <w:rsid w:val="39A8171C"/>
    <w:rsid w:val="39EA702F"/>
    <w:rsid w:val="3A9A0428"/>
    <w:rsid w:val="3AB234E7"/>
    <w:rsid w:val="3ABA54C6"/>
    <w:rsid w:val="3ABF56FA"/>
    <w:rsid w:val="3B1855C6"/>
    <w:rsid w:val="3B200138"/>
    <w:rsid w:val="3BC57B8F"/>
    <w:rsid w:val="3BCA5316"/>
    <w:rsid w:val="3BE159ED"/>
    <w:rsid w:val="3C1F7ED7"/>
    <w:rsid w:val="3C2B4FD9"/>
    <w:rsid w:val="3C7A15FE"/>
    <w:rsid w:val="3C8B2027"/>
    <w:rsid w:val="3C9C54B2"/>
    <w:rsid w:val="3CB75C8C"/>
    <w:rsid w:val="3CD842BA"/>
    <w:rsid w:val="3CED04E1"/>
    <w:rsid w:val="3D154364"/>
    <w:rsid w:val="3D3922A2"/>
    <w:rsid w:val="3D734A47"/>
    <w:rsid w:val="3D92781D"/>
    <w:rsid w:val="3DE82198"/>
    <w:rsid w:val="3E2D1234"/>
    <w:rsid w:val="3E42660A"/>
    <w:rsid w:val="3E846C23"/>
    <w:rsid w:val="3E884A7C"/>
    <w:rsid w:val="3EA07B02"/>
    <w:rsid w:val="3EAD0CC4"/>
    <w:rsid w:val="3EE649B0"/>
    <w:rsid w:val="3EFE4C27"/>
    <w:rsid w:val="3F3B0C9D"/>
    <w:rsid w:val="3FBB6674"/>
    <w:rsid w:val="3FDD1D9F"/>
    <w:rsid w:val="3FDF4001"/>
    <w:rsid w:val="3FF20EF0"/>
    <w:rsid w:val="3FF81C6C"/>
    <w:rsid w:val="40835A4C"/>
    <w:rsid w:val="409273C5"/>
    <w:rsid w:val="409A272E"/>
    <w:rsid w:val="40AC57AD"/>
    <w:rsid w:val="40C95B0C"/>
    <w:rsid w:val="40DA0D7C"/>
    <w:rsid w:val="40E02836"/>
    <w:rsid w:val="4116259D"/>
    <w:rsid w:val="41724CF5"/>
    <w:rsid w:val="428F404E"/>
    <w:rsid w:val="42BC2E2F"/>
    <w:rsid w:val="42C86C2C"/>
    <w:rsid w:val="43422FC4"/>
    <w:rsid w:val="434B5F61"/>
    <w:rsid w:val="43D340A8"/>
    <w:rsid w:val="4419461A"/>
    <w:rsid w:val="448D5F45"/>
    <w:rsid w:val="45092B28"/>
    <w:rsid w:val="451166B5"/>
    <w:rsid w:val="45325A24"/>
    <w:rsid w:val="45970786"/>
    <w:rsid w:val="45A35BE1"/>
    <w:rsid w:val="45BE0526"/>
    <w:rsid w:val="45CC091B"/>
    <w:rsid w:val="45E76415"/>
    <w:rsid w:val="463D6035"/>
    <w:rsid w:val="46521F1E"/>
    <w:rsid w:val="46D5554A"/>
    <w:rsid w:val="46E850EA"/>
    <w:rsid w:val="46F94504"/>
    <w:rsid w:val="471A6376"/>
    <w:rsid w:val="476F2186"/>
    <w:rsid w:val="47C83729"/>
    <w:rsid w:val="47F807CD"/>
    <w:rsid w:val="48590EF7"/>
    <w:rsid w:val="48620222"/>
    <w:rsid w:val="48952302"/>
    <w:rsid w:val="48B06C95"/>
    <w:rsid w:val="48BD16AF"/>
    <w:rsid w:val="490C7D41"/>
    <w:rsid w:val="495649FA"/>
    <w:rsid w:val="4A204B14"/>
    <w:rsid w:val="4A69067C"/>
    <w:rsid w:val="4AB40015"/>
    <w:rsid w:val="4AE31F58"/>
    <w:rsid w:val="4B054C48"/>
    <w:rsid w:val="4B0D3348"/>
    <w:rsid w:val="4B265EDC"/>
    <w:rsid w:val="4B31189E"/>
    <w:rsid w:val="4B406CC7"/>
    <w:rsid w:val="4BA426B2"/>
    <w:rsid w:val="4D4C4DB0"/>
    <w:rsid w:val="4D690508"/>
    <w:rsid w:val="4D97427D"/>
    <w:rsid w:val="4DB43081"/>
    <w:rsid w:val="4DB52828"/>
    <w:rsid w:val="4DFB054F"/>
    <w:rsid w:val="4E21448E"/>
    <w:rsid w:val="4E3221F7"/>
    <w:rsid w:val="4EA40E15"/>
    <w:rsid w:val="4EB42B50"/>
    <w:rsid w:val="4EC90CCF"/>
    <w:rsid w:val="4EE014EC"/>
    <w:rsid w:val="4EEA5B05"/>
    <w:rsid w:val="4F2B6026"/>
    <w:rsid w:val="4F4A7C2E"/>
    <w:rsid w:val="4F6C1739"/>
    <w:rsid w:val="4FAA3D56"/>
    <w:rsid w:val="50772144"/>
    <w:rsid w:val="509A7021"/>
    <w:rsid w:val="50A63F9F"/>
    <w:rsid w:val="50FF32D2"/>
    <w:rsid w:val="51044A52"/>
    <w:rsid w:val="510B4369"/>
    <w:rsid w:val="510F6820"/>
    <w:rsid w:val="51424ECF"/>
    <w:rsid w:val="51550EA9"/>
    <w:rsid w:val="517E39D7"/>
    <w:rsid w:val="519A542A"/>
    <w:rsid w:val="51CB6BEB"/>
    <w:rsid w:val="51CD4715"/>
    <w:rsid w:val="52016BD2"/>
    <w:rsid w:val="52603BA0"/>
    <w:rsid w:val="52CC2C1B"/>
    <w:rsid w:val="52D47D21"/>
    <w:rsid w:val="537230CA"/>
    <w:rsid w:val="53D6609D"/>
    <w:rsid w:val="53FC6ACE"/>
    <w:rsid w:val="54147B52"/>
    <w:rsid w:val="541816F7"/>
    <w:rsid w:val="54660E4D"/>
    <w:rsid w:val="5484665D"/>
    <w:rsid w:val="558D5808"/>
    <w:rsid w:val="55961626"/>
    <w:rsid w:val="55D64F00"/>
    <w:rsid w:val="564D060A"/>
    <w:rsid w:val="56BC5F12"/>
    <w:rsid w:val="56D95720"/>
    <w:rsid w:val="575A2A2C"/>
    <w:rsid w:val="575C1CC8"/>
    <w:rsid w:val="5780763F"/>
    <w:rsid w:val="586A6BDB"/>
    <w:rsid w:val="586D2BCD"/>
    <w:rsid w:val="58A957AC"/>
    <w:rsid w:val="595B4CF8"/>
    <w:rsid w:val="596811C3"/>
    <w:rsid w:val="59A2740C"/>
    <w:rsid w:val="59B75A38"/>
    <w:rsid w:val="5A160809"/>
    <w:rsid w:val="5C3A0138"/>
    <w:rsid w:val="5C673325"/>
    <w:rsid w:val="5C757E7F"/>
    <w:rsid w:val="5D783CDA"/>
    <w:rsid w:val="5E67546A"/>
    <w:rsid w:val="5EC84A00"/>
    <w:rsid w:val="5F0A6F31"/>
    <w:rsid w:val="5F2658AB"/>
    <w:rsid w:val="5F414A6C"/>
    <w:rsid w:val="5FC4513D"/>
    <w:rsid w:val="5FC51DA0"/>
    <w:rsid w:val="60001041"/>
    <w:rsid w:val="6080745F"/>
    <w:rsid w:val="6131633F"/>
    <w:rsid w:val="62982F8C"/>
    <w:rsid w:val="62EF64B1"/>
    <w:rsid w:val="62F7618C"/>
    <w:rsid w:val="63AD56B0"/>
    <w:rsid w:val="63DF4596"/>
    <w:rsid w:val="63F14444"/>
    <w:rsid w:val="642F4DB7"/>
    <w:rsid w:val="644B5969"/>
    <w:rsid w:val="64AA756E"/>
    <w:rsid w:val="64AC28AC"/>
    <w:rsid w:val="64D43BB1"/>
    <w:rsid w:val="64DD0CB7"/>
    <w:rsid w:val="65384127"/>
    <w:rsid w:val="65926EDA"/>
    <w:rsid w:val="65AA7225"/>
    <w:rsid w:val="664A6DB3"/>
    <w:rsid w:val="667446D6"/>
    <w:rsid w:val="67661BC6"/>
    <w:rsid w:val="67A7735B"/>
    <w:rsid w:val="67D00C10"/>
    <w:rsid w:val="68021003"/>
    <w:rsid w:val="68024095"/>
    <w:rsid w:val="68137D28"/>
    <w:rsid w:val="6864090D"/>
    <w:rsid w:val="6894038E"/>
    <w:rsid w:val="68E819D9"/>
    <w:rsid w:val="6902539D"/>
    <w:rsid w:val="692D1AE1"/>
    <w:rsid w:val="696B5AAF"/>
    <w:rsid w:val="698F4691"/>
    <w:rsid w:val="69903460"/>
    <w:rsid w:val="699851AD"/>
    <w:rsid w:val="69B67D29"/>
    <w:rsid w:val="6C1B20C5"/>
    <w:rsid w:val="6C3311BD"/>
    <w:rsid w:val="6C717FC7"/>
    <w:rsid w:val="6D0A10DE"/>
    <w:rsid w:val="6D4E6DD0"/>
    <w:rsid w:val="6DD100F1"/>
    <w:rsid w:val="6E2A65EF"/>
    <w:rsid w:val="6E7354E8"/>
    <w:rsid w:val="6EA66D41"/>
    <w:rsid w:val="6F3A26E8"/>
    <w:rsid w:val="6F881EDF"/>
    <w:rsid w:val="6F8A5598"/>
    <w:rsid w:val="6FC025F4"/>
    <w:rsid w:val="702E686B"/>
    <w:rsid w:val="706F0D4A"/>
    <w:rsid w:val="70981225"/>
    <w:rsid w:val="70BE7462"/>
    <w:rsid w:val="71937888"/>
    <w:rsid w:val="719E4CA8"/>
    <w:rsid w:val="725B4129"/>
    <w:rsid w:val="733221CE"/>
    <w:rsid w:val="73491262"/>
    <w:rsid w:val="7366378E"/>
    <w:rsid w:val="73DA2024"/>
    <w:rsid w:val="74445654"/>
    <w:rsid w:val="74461453"/>
    <w:rsid w:val="74BF306B"/>
    <w:rsid w:val="752821B9"/>
    <w:rsid w:val="752D5343"/>
    <w:rsid w:val="75457105"/>
    <w:rsid w:val="75846F2D"/>
    <w:rsid w:val="75C60B79"/>
    <w:rsid w:val="75CF60A7"/>
    <w:rsid w:val="76216828"/>
    <w:rsid w:val="76AD3FF9"/>
    <w:rsid w:val="76D252C8"/>
    <w:rsid w:val="76FA2A99"/>
    <w:rsid w:val="7771546F"/>
    <w:rsid w:val="777D4BE9"/>
    <w:rsid w:val="779A3579"/>
    <w:rsid w:val="77D10621"/>
    <w:rsid w:val="78092C74"/>
    <w:rsid w:val="78F540FB"/>
    <w:rsid w:val="794C1B10"/>
    <w:rsid w:val="795F350D"/>
    <w:rsid w:val="7973709D"/>
    <w:rsid w:val="79866C7A"/>
    <w:rsid w:val="79895EAC"/>
    <w:rsid w:val="799236E7"/>
    <w:rsid w:val="79993AD1"/>
    <w:rsid w:val="79BC7FBE"/>
    <w:rsid w:val="7A04260F"/>
    <w:rsid w:val="7AA428F7"/>
    <w:rsid w:val="7C1525C8"/>
    <w:rsid w:val="7C8F68E3"/>
    <w:rsid w:val="7CA227A5"/>
    <w:rsid w:val="7CE379F2"/>
    <w:rsid w:val="7CF92B0D"/>
    <w:rsid w:val="7D155246"/>
    <w:rsid w:val="7D2B0B2C"/>
    <w:rsid w:val="7D652500"/>
    <w:rsid w:val="7D68356F"/>
    <w:rsid w:val="7DBA31B2"/>
    <w:rsid w:val="7DC2406E"/>
    <w:rsid w:val="7E2911F2"/>
    <w:rsid w:val="7E4A191D"/>
    <w:rsid w:val="7E4B67C3"/>
    <w:rsid w:val="7ED56104"/>
    <w:rsid w:val="7EEF18BB"/>
    <w:rsid w:val="7F295485"/>
    <w:rsid w:val="7FE54D11"/>
    <w:rsid w:val="7FFD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qFormat="1" w:unhideWhenUsed="0" w:uiPriority="9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9"/>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46"/>
    <w:autoRedefine/>
    <w:qFormat/>
    <w:uiPriority w:val="0"/>
    <w:pPr>
      <w:keepNext/>
      <w:jc w:val="center"/>
      <w:outlineLvl w:val="3"/>
    </w:pPr>
    <w:rPr>
      <w:rFonts w:eastAsia="新宋体"/>
      <w:kern w:val="0"/>
      <w:sz w:val="30"/>
      <w:szCs w:val="21"/>
    </w:rPr>
  </w:style>
  <w:style w:type="paragraph" w:styleId="7">
    <w:name w:val="heading 5"/>
    <w:basedOn w:val="1"/>
    <w:next w:val="1"/>
    <w:link w:val="50"/>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51"/>
    <w:autoRedefine/>
    <w:qFormat/>
    <w:uiPriority w:val="0"/>
    <w:pPr>
      <w:keepNext/>
      <w:jc w:val="center"/>
      <w:outlineLvl w:val="5"/>
    </w:pPr>
    <w:rPr>
      <w:b/>
      <w:kern w:val="0"/>
      <w:sz w:val="44"/>
      <w:szCs w:val="20"/>
    </w:rPr>
  </w:style>
  <w:style w:type="paragraph" w:styleId="9">
    <w:name w:val="heading 7"/>
    <w:basedOn w:val="1"/>
    <w:next w:val="1"/>
    <w:link w:val="52"/>
    <w:autoRedefine/>
    <w:qFormat/>
    <w:uiPriority w:val="0"/>
    <w:pPr>
      <w:keepNext/>
      <w:keepLines/>
      <w:spacing w:before="240" w:after="64" w:line="320" w:lineRule="auto"/>
      <w:outlineLvl w:val="6"/>
    </w:pPr>
    <w:rPr>
      <w:b/>
      <w:bCs/>
      <w:kern w:val="0"/>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kern w:val="0"/>
      <w:sz w:val="24"/>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34"/>
    <w:pPr>
      <w:widowControl/>
      <w:ind w:left="720"/>
      <w:contextualSpacing/>
      <w:jc w:val="left"/>
    </w:pPr>
    <w:rPr>
      <w:kern w:val="0"/>
      <w:sz w:val="24"/>
      <w:lang w:eastAsia="en-US" w:bidi="en-US"/>
    </w:rPr>
  </w:style>
  <w:style w:type="paragraph" w:styleId="12">
    <w:name w:val="toc 7"/>
    <w:basedOn w:val="1"/>
    <w:next w:val="1"/>
    <w:autoRedefine/>
    <w:semiHidden/>
    <w:qFormat/>
    <w:uiPriority w:val="99"/>
    <w:pPr>
      <w:ind w:left="1260"/>
      <w:jc w:val="left"/>
    </w:pPr>
  </w:style>
  <w:style w:type="paragraph" w:styleId="13">
    <w:name w:val="Note Heading"/>
    <w:basedOn w:val="1"/>
    <w:next w:val="1"/>
    <w:autoRedefine/>
    <w:qFormat/>
    <w:uiPriority w:val="0"/>
    <w:rPr>
      <w:rFonts w:ascii="Verdana" w:hAnsi="Verdana"/>
      <w:szCs w:val="20"/>
    </w:rPr>
  </w:style>
  <w:style w:type="paragraph" w:styleId="14">
    <w:name w:val="Normal Indent"/>
    <w:basedOn w:val="1"/>
    <w:link w:val="55"/>
    <w:autoRedefine/>
    <w:qFormat/>
    <w:uiPriority w:val="0"/>
    <w:pPr>
      <w:ind w:firstLine="420"/>
    </w:pPr>
    <w:rPr>
      <w:kern w:val="0"/>
      <w:sz w:val="20"/>
      <w:szCs w:val="20"/>
    </w:rPr>
  </w:style>
  <w:style w:type="paragraph" w:styleId="15">
    <w:name w:val="Document Map"/>
    <w:basedOn w:val="1"/>
    <w:link w:val="56"/>
    <w:autoRedefine/>
    <w:semiHidden/>
    <w:qFormat/>
    <w:uiPriority w:val="0"/>
    <w:pPr>
      <w:shd w:val="clear" w:color="auto" w:fill="000080"/>
    </w:pPr>
    <w:rPr>
      <w:kern w:val="0"/>
      <w:sz w:val="20"/>
    </w:rPr>
  </w:style>
  <w:style w:type="paragraph" w:styleId="16">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57"/>
    <w:autoRedefine/>
    <w:unhideWhenUsed/>
    <w:qFormat/>
    <w:uiPriority w:val="99"/>
    <w:pPr>
      <w:jc w:val="left"/>
    </w:pPr>
  </w:style>
  <w:style w:type="paragraph" w:styleId="18">
    <w:name w:val="Body Text 3"/>
    <w:basedOn w:val="1"/>
    <w:link w:val="58"/>
    <w:autoRedefine/>
    <w:qFormat/>
    <w:uiPriority w:val="0"/>
    <w:pPr>
      <w:spacing w:after="120"/>
    </w:pPr>
    <w:rPr>
      <w:kern w:val="0"/>
      <w:sz w:val="16"/>
      <w:szCs w:val="16"/>
    </w:rPr>
  </w:style>
  <w:style w:type="paragraph" w:styleId="19">
    <w:name w:val="Body Text"/>
    <w:basedOn w:val="1"/>
    <w:link w:val="59"/>
    <w:autoRedefine/>
    <w:qFormat/>
    <w:uiPriority w:val="0"/>
    <w:rPr>
      <w:rFonts w:ascii="仿宋_GB2312" w:eastAsia="仿宋_GB2312"/>
      <w:kern w:val="0"/>
      <w:sz w:val="24"/>
      <w:szCs w:val="20"/>
    </w:rPr>
  </w:style>
  <w:style w:type="paragraph" w:styleId="20">
    <w:name w:val="Body Text Indent"/>
    <w:basedOn w:val="1"/>
    <w:next w:val="21"/>
    <w:link w:val="60"/>
    <w:autoRedefine/>
    <w:qFormat/>
    <w:uiPriority w:val="0"/>
    <w:pPr>
      <w:ind w:left="765"/>
    </w:pPr>
    <w:rPr>
      <w:rFonts w:ascii="仿宋_GB2312" w:eastAsia="仿宋_GB2312"/>
      <w:kern w:val="0"/>
      <w:sz w:val="28"/>
      <w:szCs w:val="20"/>
    </w:rPr>
  </w:style>
  <w:style w:type="paragraph" w:styleId="21">
    <w:name w:val="envelope return"/>
    <w:basedOn w:val="1"/>
    <w:next w:val="12"/>
    <w:autoRedefine/>
    <w:unhideWhenUsed/>
    <w:qFormat/>
    <w:uiPriority w:val="99"/>
    <w:pPr>
      <w:snapToGrid w:val="0"/>
    </w:pPr>
    <w:rPr>
      <w:rFonts w:ascii="Arial" w:hAnsi="Arial"/>
    </w:rPr>
  </w:style>
  <w:style w:type="paragraph" w:styleId="22">
    <w:name w:val="Block Text"/>
    <w:basedOn w:val="1"/>
    <w:next w:val="19"/>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3">
    <w:name w:val="Plain Text"/>
    <w:basedOn w:val="1"/>
    <w:link w:val="61"/>
    <w:autoRedefine/>
    <w:qFormat/>
    <w:uiPriority w:val="0"/>
    <w:rPr>
      <w:rFonts w:ascii="宋体" w:hAnsi="Courier New"/>
      <w:kern w:val="0"/>
      <w:sz w:val="20"/>
      <w:szCs w:val="21"/>
    </w:rPr>
  </w:style>
  <w:style w:type="paragraph" w:styleId="24">
    <w:name w:val="Date"/>
    <w:basedOn w:val="1"/>
    <w:next w:val="1"/>
    <w:link w:val="62"/>
    <w:autoRedefine/>
    <w:qFormat/>
    <w:uiPriority w:val="0"/>
    <w:rPr>
      <w:kern w:val="0"/>
      <w:sz w:val="24"/>
      <w:szCs w:val="20"/>
    </w:rPr>
  </w:style>
  <w:style w:type="paragraph" w:styleId="25">
    <w:name w:val="Body Text Indent 2"/>
    <w:basedOn w:val="1"/>
    <w:link w:val="63"/>
    <w:autoRedefine/>
    <w:qFormat/>
    <w:uiPriority w:val="0"/>
    <w:pPr>
      <w:spacing w:line="500" w:lineRule="exact"/>
      <w:ind w:firstLine="560" w:firstLineChars="200"/>
    </w:pPr>
    <w:rPr>
      <w:rFonts w:eastAsia="仿宋_GB2312"/>
      <w:kern w:val="0"/>
      <w:sz w:val="28"/>
      <w:szCs w:val="20"/>
    </w:rPr>
  </w:style>
  <w:style w:type="paragraph" w:styleId="26">
    <w:name w:val="Balloon Text"/>
    <w:basedOn w:val="1"/>
    <w:link w:val="64"/>
    <w:autoRedefine/>
    <w:semiHidden/>
    <w:qFormat/>
    <w:uiPriority w:val="0"/>
    <w:rPr>
      <w:kern w:val="0"/>
      <w:sz w:val="18"/>
      <w:szCs w:val="18"/>
    </w:rPr>
  </w:style>
  <w:style w:type="paragraph" w:styleId="27">
    <w:name w:val="footer"/>
    <w:basedOn w:val="1"/>
    <w:link w:val="65"/>
    <w:autoRedefine/>
    <w:qFormat/>
    <w:uiPriority w:val="99"/>
    <w:pPr>
      <w:tabs>
        <w:tab w:val="center" w:pos="4153"/>
        <w:tab w:val="right" w:pos="8306"/>
      </w:tabs>
      <w:snapToGrid w:val="0"/>
      <w:jc w:val="left"/>
    </w:pPr>
    <w:rPr>
      <w:kern w:val="0"/>
      <w:sz w:val="18"/>
      <w:szCs w:val="20"/>
    </w:rPr>
  </w:style>
  <w:style w:type="paragraph" w:styleId="28">
    <w:name w:val="header"/>
    <w:basedOn w:val="1"/>
    <w:link w:val="66"/>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autoRedefine/>
    <w:semiHidden/>
    <w:qFormat/>
    <w:uiPriority w:val="0"/>
    <w:rPr>
      <w:sz w:val="24"/>
    </w:rPr>
  </w:style>
  <w:style w:type="paragraph" w:styleId="30">
    <w:name w:val="List"/>
    <w:basedOn w:val="1"/>
    <w:autoRedefine/>
    <w:qFormat/>
    <w:uiPriority w:val="0"/>
    <w:pPr>
      <w:ind w:left="200" w:hanging="200" w:hangingChars="200"/>
    </w:pPr>
  </w:style>
  <w:style w:type="paragraph" w:styleId="31">
    <w:name w:val="Body Text Indent 3"/>
    <w:basedOn w:val="1"/>
    <w:next w:val="16"/>
    <w:link w:val="67"/>
    <w:autoRedefine/>
    <w:qFormat/>
    <w:uiPriority w:val="0"/>
    <w:pPr>
      <w:spacing w:after="120"/>
      <w:ind w:left="420" w:leftChars="200"/>
    </w:pPr>
    <w:rPr>
      <w:kern w:val="0"/>
      <w:sz w:val="16"/>
      <w:szCs w:val="16"/>
    </w:rPr>
  </w:style>
  <w:style w:type="paragraph" w:styleId="32">
    <w:name w:val="Body Text 2"/>
    <w:basedOn w:val="1"/>
    <w:link w:val="68"/>
    <w:autoRedefine/>
    <w:qFormat/>
    <w:uiPriority w:val="0"/>
    <w:pPr>
      <w:snapToGrid w:val="0"/>
    </w:pPr>
    <w:rPr>
      <w:b/>
      <w:bCs/>
      <w:kern w:val="0"/>
      <w:sz w:val="18"/>
    </w:rPr>
  </w:style>
  <w:style w:type="paragraph" w:styleId="33">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4">
    <w:name w:val="annotation subject"/>
    <w:basedOn w:val="17"/>
    <w:next w:val="17"/>
    <w:link w:val="69"/>
    <w:autoRedefine/>
    <w:unhideWhenUsed/>
    <w:qFormat/>
    <w:uiPriority w:val="99"/>
    <w:rPr>
      <w:b/>
      <w:bCs/>
    </w:rPr>
  </w:style>
  <w:style w:type="paragraph" w:styleId="35">
    <w:name w:val="Body Text First Indent"/>
    <w:basedOn w:val="19"/>
    <w:next w:val="36"/>
    <w:link w:val="70"/>
    <w:autoRedefine/>
    <w:qFormat/>
    <w:uiPriority w:val="0"/>
    <w:pPr>
      <w:spacing w:after="120"/>
      <w:ind w:firstLine="420" w:firstLineChars="100"/>
    </w:pPr>
    <w:rPr>
      <w:rFonts w:ascii="Times New Roman" w:eastAsia="宋体"/>
      <w:szCs w:val="24"/>
    </w:rPr>
  </w:style>
  <w:style w:type="paragraph" w:styleId="36">
    <w:name w:val="Body Text First Indent 2"/>
    <w:basedOn w:val="20"/>
    <w:next w:val="1"/>
    <w:autoRedefine/>
    <w:unhideWhenUsed/>
    <w:qFormat/>
    <w:uiPriority w:val="99"/>
    <w:pPr>
      <w:ind w:firstLine="200" w:firstLineChars="200"/>
    </w:pPr>
  </w:style>
  <w:style w:type="table" w:styleId="38">
    <w:name w:val="Table Grid"/>
    <w:basedOn w:val="3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autoRedefine/>
    <w:qFormat/>
    <w:uiPriority w:val="0"/>
    <w:rPr>
      <w:b/>
      <w:bCs/>
    </w:rPr>
  </w:style>
  <w:style w:type="character" w:styleId="41">
    <w:name w:val="page number"/>
    <w:autoRedefine/>
    <w:qFormat/>
    <w:uiPriority w:val="0"/>
  </w:style>
  <w:style w:type="character" w:styleId="42">
    <w:name w:val="FollowedHyperlink"/>
    <w:autoRedefine/>
    <w:qFormat/>
    <w:uiPriority w:val="0"/>
    <w:rPr>
      <w:color w:val="800080"/>
      <w:u w:val="single"/>
    </w:rPr>
  </w:style>
  <w:style w:type="character" w:styleId="43">
    <w:name w:val="Emphasis"/>
    <w:basedOn w:val="39"/>
    <w:qFormat/>
    <w:uiPriority w:val="20"/>
    <w:rPr>
      <w:i/>
    </w:rPr>
  </w:style>
  <w:style w:type="character" w:styleId="44">
    <w:name w:val="Hyperlink"/>
    <w:autoRedefine/>
    <w:qFormat/>
    <w:uiPriority w:val="0"/>
    <w:rPr>
      <w:color w:val="0000FF"/>
      <w:u w:val="single"/>
    </w:rPr>
  </w:style>
  <w:style w:type="character" w:styleId="45">
    <w:name w:val="annotation reference"/>
    <w:autoRedefine/>
    <w:unhideWhenUsed/>
    <w:qFormat/>
    <w:uiPriority w:val="99"/>
    <w:rPr>
      <w:sz w:val="21"/>
      <w:szCs w:val="21"/>
    </w:rPr>
  </w:style>
  <w:style w:type="character" w:customStyle="1" w:styleId="46">
    <w:name w:val="标题 4 字符"/>
    <w:link w:val="6"/>
    <w:autoRedefine/>
    <w:qFormat/>
    <w:uiPriority w:val="0"/>
    <w:rPr>
      <w:rFonts w:ascii="Times New Roman" w:hAnsi="Times New Roman" w:eastAsia="新宋体" w:cs="Times New Roman"/>
      <w:sz w:val="30"/>
      <w:szCs w:val="21"/>
    </w:rPr>
  </w:style>
  <w:style w:type="character" w:customStyle="1" w:styleId="47">
    <w:name w:val="标题 1 字符"/>
    <w:link w:val="3"/>
    <w:autoRedefine/>
    <w:qFormat/>
    <w:uiPriority w:val="0"/>
    <w:rPr>
      <w:rFonts w:ascii="Times New Roman" w:hAnsi="Times New Roman" w:eastAsia="宋体" w:cs="Times New Roman"/>
      <w:b/>
      <w:bCs/>
      <w:kern w:val="44"/>
      <w:sz w:val="44"/>
      <w:szCs w:val="44"/>
    </w:rPr>
  </w:style>
  <w:style w:type="character" w:customStyle="1" w:styleId="48">
    <w:name w:val="标题 2 字符"/>
    <w:link w:val="4"/>
    <w:autoRedefine/>
    <w:qFormat/>
    <w:uiPriority w:val="0"/>
    <w:rPr>
      <w:rFonts w:ascii="Arial" w:hAnsi="Arial" w:eastAsia="黑体" w:cs="Times New Roman"/>
      <w:b/>
      <w:bCs/>
      <w:sz w:val="32"/>
      <w:szCs w:val="32"/>
    </w:rPr>
  </w:style>
  <w:style w:type="character" w:customStyle="1" w:styleId="49">
    <w:name w:val="标题 3 字符"/>
    <w:link w:val="5"/>
    <w:autoRedefine/>
    <w:qFormat/>
    <w:uiPriority w:val="0"/>
    <w:rPr>
      <w:rFonts w:ascii="Times New Roman" w:hAnsi="Times New Roman" w:eastAsia="宋体" w:cs="Times New Roman"/>
      <w:b/>
      <w:bCs/>
      <w:sz w:val="32"/>
      <w:szCs w:val="32"/>
    </w:rPr>
  </w:style>
  <w:style w:type="character" w:customStyle="1" w:styleId="50">
    <w:name w:val="标题 5 字符"/>
    <w:link w:val="7"/>
    <w:autoRedefine/>
    <w:qFormat/>
    <w:uiPriority w:val="0"/>
    <w:rPr>
      <w:rFonts w:ascii="Times New Roman" w:hAnsi="Times New Roman" w:eastAsia="宋体" w:cs="Times New Roman"/>
      <w:b/>
      <w:bCs/>
      <w:sz w:val="28"/>
      <w:szCs w:val="28"/>
    </w:rPr>
  </w:style>
  <w:style w:type="character" w:customStyle="1" w:styleId="51">
    <w:name w:val="标题 6 字符"/>
    <w:link w:val="8"/>
    <w:autoRedefine/>
    <w:qFormat/>
    <w:uiPriority w:val="0"/>
    <w:rPr>
      <w:rFonts w:ascii="Times New Roman" w:hAnsi="Times New Roman" w:eastAsia="宋体" w:cs="Times New Roman"/>
      <w:b/>
      <w:sz w:val="44"/>
      <w:szCs w:val="20"/>
    </w:rPr>
  </w:style>
  <w:style w:type="character" w:customStyle="1" w:styleId="52">
    <w:name w:val="标题 7 字符"/>
    <w:link w:val="9"/>
    <w:autoRedefine/>
    <w:qFormat/>
    <w:uiPriority w:val="0"/>
    <w:rPr>
      <w:rFonts w:ascii="Times New Roman" w:hAnsi="Times New Roman" w:eastAsia="宋体" w:cs="Times New Roman"/>
      <w:b/>
      <w:bCs/>
      <w:sz w:val="24"/>
      <w:szCs w:val="24"/>
    </w:rPr>
  </w:style>
  <w:style w:type="character" w:customStyle="1" w:styleId="53">
    <w:name w:val="标题 8 字符"/>
    <w:link w:val="10"/>
    <w:autoRedefine/>
    <w:qFormat/>
    <w:uiPriority w:val="0"/>
    <w:rPr>
      <w:rFonts w:ascii="Arial" w:hAnsi="Arial" w:eastAsia="黑体" w:cs="Times New Roman"/>
      <w:sz w:val="24"/>
      <w:szCs w:val="24"/>
    </w:rPr>
  </w:style>
  <w:style w:type="character" w:customStyle="1" w:styleId="54">
    <w:name w:val="标题 9 字符"/>
    <w:link w:val="11"/>
    <w:autoRedefine/>
    <w:qFormat/>
    <w:uiPriority w:val="0"/>
    <w:rPr>
      <w:rFonts w:ascii="Arial" w:hAnsi="Arial" w:eastAsia="黑体" w:cs="Times New Roman"/>
      <w:sz w:val="24"/>
      <w:szCs w:val="21"/>
    </w:rPr>
  </w:style>
  <w:style w:type="character" w:customStyle="1" w:styleId="55">
    <w:name w:val="正文缩进 字符"/>
    <w:link w:val="14"/>
    <w:autoRedefine/>
    <w:qFormat/>
    <w:uiPriority w:val="0"/>
    <w:rPr>
      <w:rFonts w:ascii="Times New Roman" w:hAnsi="Times New Roman" w:eastAsia="宋体" w:cs="Times New Roman"/>
      <w:kern w:val="0"/>
      <w:sz w:val="20"/>
      <w:szCs w:val="20"/>
    </w:rPr>
  </w:style>
  <w:style w:type="character" w:customStyle="1" w:styleId="56">
    <w:name w:val="文档结构图 字符"/>
    <w:link w:val="15"/>
    <w:autoRedefine/>
    <w:semiHidden/>
    <w:qFormat/>
    <w:uiPriority w:val="0"/>
    <w:rPr>
      <w:szCs w:val="24"/>
      <w:shd w:val="clear" w:color="auto" w:fill="000080"/>
    </w:rPr>
  </w:style>
  <w:style w:type="character" w:customStyle="1" w:styleId="57">
    <w:name w:val="批注文字 字符"/>
    <w:link w:val="17"/>
    <w:autoRedefine/>
    <w:qFormat/>
    <w:uiPriority w:val="99"/>
    <w:rPr>
      <w:kern w:val="2"/>
      <w:sz w:val="21"/>
      <w:szCs w:val="24"/>
    </w:rPr>
  </w:style>
  <w:style w:type="character" w:customStyle="1" w:styleId="58">
    <w:name w:val="正文文本 3 字符"/>
    <w:link w:val="18"/>
    <w:autoRedefine/>
    <w:qFormat/>
    <w:uiPriority w:val="0"/>
    <w:rPr>
      <w:rFonts w:ascii="Times New Roman" w:hAnsi="Times New Roman" w:eastAsia="宋体" w:cs="Times New Roman"/>
      <w:sz w:val="16"/>
      <w:szCs w:val="16"/>
    </w:rPr>
  </w:style>
  <w:style w:type="character" w:customStyle="1" w:styleId="59">
    <w:name w:val="正文文本 字符"/>
    <w:link w:val="19"/>
    <w:autoRedefine/>
    <w:qFormat/>
    <w:uiPriority w:val="0"/>
    <w:rPr>
      <w:rFonts w:ascii="仿宋_GB2312" w:hAnsi="Times New Roman" w:eastAsia="仿宋_GB2312" w:cs="Times New Roman"/>
      <w:sz w:val="24"/>
      <w:szCs w:val="20"/>
    </w:rPr>
  </w:style>
  <w:style w:type="character" w:customStyle="1" w:styleId="60">
    <w:name w:val="正文文本缩进 字符"/>
    <w:link w:val="20"/>
    <w:autoRedefine/>
    <w:qFormat/>
    <w:uiPriority w:val="0"/>
    <w:rPr>
      <w:rFonts w:ascii="仿宋_GB2312" w:hAnsi="Times New Roman" w:eastAsia="仿宋_GB2312" w:cs="Times New Roman"/>
      <w:sz w:val="28"/>
      <w:szCs w:val="20"/>
    </w:rPr>
  </w:style>
  <w:style w:type="character" w:customStyle="1" w:styleId="61">
    <w:name w:val="纯文本 字符"/>
    <w:link w:val="23"/>
    <w:autoRedefine/>
    <w:qFormat/>
    <w:uiPriority w:val="0"/>
    <w:rPr>
      <w:rFonts w:ascii="宋体" w:hAnsi="Courier New" w:eastAsia="宋体" w:cs="Courier New"/>
      <w:szCs w:val="21"/>
    </w:rPr>
  </w:style>
  <w:style w:type="character" w:customStyle="1" w:styleId="62">
    <w:name w:val="日期 字符"/>
    <w:link w:val="24"/>
    <w:autoRedefine/>
    <w:qFormat/>
    <w:uiPriority w:val="0"/>
    <w:rPr>
      <w:rFonts w:ascii="Times New Roman" w:hAnsi="Times New Roman" w:eastAsia="宋体" w:cs="Times New Roman"/>
      <w:sz w:val="24"/>
      <w:szCs w:val="20"/>
    </w:rPr>
  </w:style>
  <w:style w:type="character" w:customStyle="1" w:styleId="63">
    <w:name w:val="正文文本缩进 2 字符"/>
    <w:link w:val="25"/>
    <w:autoRedefine/>
    <w:qFormat/>
    <w:uiPriority w:val="0"/>
    <w:rPr>
      <w:rFonts w:ascii="Times New Roman" w:hAnsi="Times New Roman" w:eastAsia="仿宋_GB2312" w:cs="Times New Roman"/>
      <w:sz w:val="28"/>
      <w:szCs w:val="20"/>
    </w:rPr>
  </w:style>
  <w:style w:type="character" w:customStyle="1" w:styleId="64">
    <w:name w:val="批注框文本 字符"/>
    <w:link w:val="26"/>
    <w:autoRedefine/>
    <w:semiHidden/>
    <w:qFormat/>
    <w:uiPriority w:val="0"/>
    <w:rPr>
      <w:sz w:val="18"/>
      <w:szCs w:val="18"/>
    </w:rPr>
  </w:style>
  <w:style w:type="character" w:customStyle="1" w:styleId="65">
    <w:name w:val="页脚 字符"/>
    <w:link w:val="27"/>
    <w:autoRedefine/>
    <w:qFormat/>
    <w:uiPriority w:val="99"/>
    <w:rPr>
      <w:rFonts w:ascii="Times New Roman" w:hAnsi="Times New Roman" w:eastAsia="宋体" w:cs="Times New Roman"/>
      <w:sz w:val="18"/>
      <w:szCs w:val="20"/>
    </w:rPr>
  </w:style>
  <w:style w:type="character" w:customStyle="1" w:styleId="66">
    <w:name w:val="页眉 字符"/>
    <w:link w:val="28"/>
    <w:autoRedefine/>
    <w:qFormat/>
    <w:uiPriority w:val="0"/>
    <w:rPr>
      <w:rFonts w:ascii="Times New Roman" w:hAnsi="Times New Roman" w:eastAsia="宋体" w:cs="Times New Roman"/>
      <w:sz w:val="18"/>
      <w:szCs w:val="18"/>
    </w:rPr>
  </w:style>
  <w:style w:type="character" w:customStyle="1" w:styleId="67">
    <w:name w:val="正文文本缩进 3 字符"/>
    <w:link w:val="31"/>
    <w:autoRedefine/>
    <w:qFormat/>
    <w:uiPriority w:val="0"/>
    <w:rPr>
      <w:rFonts w:ascii="Times New Roman" w:hAnsi="Times New Roman" w:eastAsia="宋体" w:cs="Times New Roman"/>
      <w:sz w:val="16"/>
      <w:szCs w:val="16"/>
    </w:rPr>
  </w:style>
  <w:style w:type="character" w:customStyle="1" w:styleId="68">
    <w:name w:val="正文文本 2 字符"/>
    <w:link w:val="32"/>
    <w:autoRedefine/>
    <w:qFormat/>
    <w:uiPriority w:val="0"/>
    <w:rPr>
      <w:rFonts w:ascii="Times New Roman" w:hAnsi="Times New Roman" w:eastAsia="宋体" w:cs="Times New Roman"/>
      <w:b/>
      <w:bCs/>
      <w:sz w:val="18"/>
      <w:szCs w:val="24"/>
    </w:rPr>
  </w:style>
  <w:style w:type="character" w:customStyle="1" w:styleId="69">
    <w:name w:val="批注主题 字符"/>
    <w:link w:val="34"/>
    <w:autoRedefine/>
    <w:semiHidden/>
    <w:qFormat/>
    <w:uiPriority w:val="99"/>
    <w:rPr>
      <w:b/>
      <w:bCs/>
      <w:kern w:val="2"/>
      <w:sz w:val="21"/>
      <w:szCs w:val="24"/>
    </w:rPr>
  </w:style>
  <w:style w:type="character" w:customStyle="1" w:styleId="70">
    <w:name w:val="正文文本首行缩进 字符"/>
    <w:link w:val="35"/>
    <w:autoRedefine/>
    <w:qFormat/>
    <w:uiPriority w:val="0"/>
    <w:rPr>
      <w:rFonts w:ascii="Times New Roman" w:hAnsi="Times New Roman" w:eastAsia="宋体" w:cs="Times New Roman"/>
      <w:sz w:val="24"/>
      <w:szCs w:val="24"/>
    </w:rPr>
  </w:style>
  <w:style w:type="paragraph" w:customStyle="1" w:styleId="71">
    <w:name w:val="标题 21"/>
    <w:basedOn w:val="1"/>
    <w:next w:val="1"/>
    <w:autoRedefine/>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72">
    <w:name w:val="Default"/>
    <w:basedOn w:val="1"/>
    <w:autoRedefine/>
    <w:qFormat/>
    <w:uiPriority w:val="0"/>
    <w:pPr>
      <w:autoSpaceDE w:val="0"/>
      <w:autoSpaceDN w:val="0"/>
      <w:adjustRightInd w:val="0"/>
      <w:jc w:val="left"/>
    </w:pPr>
    <w:rPr>
      <w:rFonts w:ascii="Arial" w:hAnsi="Arial" w:eastAsia="PMingLiU"/>
      <w:kern w:val="0"/>
      <w:sz w:val="20"/>
      <w:szCs w:val="20"/>
    </w:rPr>
  </w:style>
  <w:style w:type="paragraph" w:customStyle="1" w:styleId="73">
    <w:name w:val="正文1"/>
    <w:next w:val="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4">
    <w:name w:val="style4"/>
    <w:basedOn w:val="1"/>
    <w:next w:val="75"/>
    <w:autoRedefine/>
    <w:qFormat/>
    <w:uiPriority w:val="0"/>
    <w:pPr>
      <w:widowControl/>
      <w:spacing w:before="280" w:after="280"/>
    </w:pPr>
    <w:rPr>
      <w:rFonts w:ascii="宋体"/>
      <w:sz w:val="18"/>
    </w:rPr>
  </w:style>
  <w:style w:type="paragraph" w:customStyle="1" w:styleId="7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6">
    <w:name w:val="font11"/>
    <w:autoRedefine/>
    <w:qFormat/>
    <w:uiPriority w:val="0"/>
    <w:rPr>
      <w:rFonts w:hint="eastAsia" w:ascii="宋体" w:hAnsi="宋体" w:eastAsia="宋体" w:cs="宋体"/>
      <w:color w:val="000000"/>
      <w:sz w:val="24"/>
      <w:szCs w:val="24"/>
      <w:u w:val="none"/>
    </w:rPr>
  </w:style>
  <w:style w:type="character" w:customStyle="1" w:styleId="77">
    <w:name w:val="font41"/>
    <w:autoRedefine/>
    <w:qFormat/>
    <w:uiPriority w:val="0"/>
    <w:rPr>
      <w:rFonts w:hint="eastAsia" w:ascii="宋体" w:hAnsi="宋体" w:eastAsia="宋体" w:cs="宋体"/>
      <w:color w:val="FFCC00"/>
      <w:sz w:val="24"/>
      <w:szCs w:val="24"/>
      <w:u w:val="none"/>
    </w:rPr>
  </w:style>
  <w:style w:type="character" w:customStyle="1" w:styleId="78">
    <w:name w:val="样式 ssss + 宋体 五号1 Char"/>
    <w:link w:val="79"/>
    <w:autoRedefine/>
    <w:qFormat/>
    <w:uiPriority w:val="0"/>
    <w:rPr>
      <w:rFonts w:ascii="宋体" w:hAnsi="宋体" w:eastAsia="宋体" w:cs="Times New Roman"/>
      <w:sz w:val="24"/>
      <w:szCs w:val="24"/>
    </w:rPr>
  </w:style>
  <w:style w:type="paragraph" w:customStyle="1" w:styleId="79">
    <w:name w:val="样式 ssss + 宋体 五号1"/>
    <w:basedOn w:val="80"/>
    <w:link w:val="78"/>
    <w:autoRedefine/>
    <w:qFormat/>
    <w:uiPriority w:val="0"/>
    <w:rPr>
      <w:rFonts w:ascii="宋体" w:hAnsi="宋体"/>
    </w:rPr>
  </w:style>
  <w:style w:type="paragraph" w:customStyle="1" w:styleId="80">
    <w:name w:val="ssss"/>
    <w:basedOn w:val="1"/>
    <w:link w:val="81"/>
    <w:autoRedefine/>
    <w:qFormat/>
    <w:uiPriority w:val="0"/>
    <w:pPr>
      <w:spacing w:line="360" w:lineRule="auto"/>
      <w:ind w:firstLine="480" w:firstLineChars="200"/>
    </w:pPr>
    <w:rPr>
      <w:kern w:val="0"/>
      <w:sz w:val="24"/>
    </w:rPr>
  </w:style>
  <w:style w:type="character" w:customStyle="1" w:styleId="81">
    <w:name w:val="ssss Char1"/>
    <w:link w:val="80"/>
    <w:autoRedefine/>
    <w:qFormat/>
    <w:uiPriority w:val="0"/>
    <w:rPr>
      <w:rFonts w:ascii="Times New Roman" w:hAnsi="Times New Roman" w:eastAsia="宋体" w:cs="Times New Roman"/>
      <w:sz w:val="24"/>
      <w:szCs w:val="24"/>
    </w:rPr>
  </w:style>
  <w:style w:type="character" w:customStyle="1" w:styleId="82">
    <w:name w:val="font01"/>
    <w:autoRedefine/>
    <w:qFormat/>
    <w:uiPriority w:val="0"/>
    <w:rPr>
      <w:rFonts w:hint="eastAsia" w:ascii="宋体" w:hAnsi="宋体" w:eastAsia="宋体" w:cs="宋体"/>
      <w:color w:val="FF0000"/>
      <w:sz w:val="24"/>
      <w:szCs w:val="24"/>
      <w:u w:val="none"/>
    </w:rPr>
  </w:style>
  <w:style w:type="character" w:customStyle="1" w:styleId="83">
    <w:name w:val="point_normal1"/>
    <w:autoRedefine/>
    <w:qFormat/>
    <w:uiPriority w:val="0"/>
    <w:rPr>
      <w:rFonts w:hint="default" w:ascii="Arial" w:hAnsi="Arial" w:cs="Arial"/>
      <w:sz w:val="16"/>
      <w:szCs w:val="16"/>
    </w:rPr>
  </w:style>
  <w:style w:type="character" w:customStyle="1" w:styleId="84">
    <w:name w:val="列表段落 字符1"/>
    <w:link w:val="85"/>
    <w:autoRedefine/>
    <w:qFormat/>
    <w:locked/>
    <w:uiPriority w:val="99"/>
  </w:style>
  <w:style w:type="paragraph" w:styleId="85">
    <w:name w:val="List Paragraph"/>
    <w:basedOn w:val="1"/>
    <w:link w:val="84"/>
    <w:autoRedefine/>
    <w:qFormat/>
    <w:uiPriority w:val="99"/>
    <w:pPr>
      <w:ind w:firstLine="420" w:firstLineChars="200"/>
    </w:pPr>
    <w:rPr>
      <w:kern w:val="0"/>
      <w:sz w:val="20"/>
      <w:szCs w:val="20"/>
    </w:rPr>
  </w:style>
  <w:style w:type="character" w:customStyle="1" w:styleId="86">
    <w:name w:val="文档结构图 Char1"/>
    <w:autoRedefine/>
    <w:semiHidden/>
    <w:qFormat/>
    <w:uiPriority w:val="99"/>
    <w:rPr>
      <w:rFonts w:ascii="宋体" w:hAnsi="Times New Roman" w:eastAsia="宋体" w:cs="Times New Roman"/>
      <w:sz w:val="18"/>
      <w:szCs w:val="18"/>
    </w:rPr>
  </w:style>
  <w:style w:type="character" w:customStyle="1" w:styleId="87">
    <w:name w:val="普通正文 Char"/>
    <w:link w:val="88"/>
    <w:autoRedefine/>
    <w:qFormat/>
    <w:uiPriority w:val="0"/>
    <w:rPr>
      <w:rFonts w:ascii="Arial" w:hAnsi="Arial"/>
      <w:sz w:val="24"/>
      <w:szCs w:val="24"/>
    </w:rPr>
  </w:style>
  <w:style w:type="paragraph" w:customStyle="1" w:styleId="88">
    <w:name w:val="普通正文"/>
    <w:basedOn w:val="1"/>
    <w:link w:val="87"/>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9">
    <w:name w:val="FA正文 Char"/>
    <w:link w:val="90"/>
    <w:autoRedefine/>
    <w:qFormat/>
    <w:uiPriority w:val="0"/>
    <w:rPr>
      <w:rFonts w:ascii="宋体" w:hAnsi="宋体" w:eastAsia="宋体" w:cs="Times New Roman"/>
      <w:sz w:val="28"/>
      <w:szCs w:val="28"/>
    </w:rPr>
  </w:style>
  <w:style w:type="paragraph" w:customStyle="1" w:styleId="90">
    <w:name w:val="FA正文"/>
    <w:basedOn w:val="1"/>
    <w:link w:val="89"/>
    <w:autoRedefine/>
    <w:qFormat/>
    <w:uiPriority w:val="0"/>
    <w:pPr>
      <w:tabs>
        <w:tab w:val="left" w:pos="3375"/>
      </w:tabs>
      <w:spacing w:line="440" w:lineRule="atLeast"/>
      <w:ind w:firstLine="538" w:firstLineChars="192"/>
    </w:pPr>
    <w:rPr>
      <w:rFonts w:ascii="宋体" w:hAnsi="宋体"/>
      <w:kern w:val="0"/>
      <w:sz w:val="28"/>
      <w:szCs w:val="28"/>
    </w:rPr>
  </w:style>
  <w:style w:type="character" w:customStyle="1" w:styleId="91">
    <w:name w:val="正文缩进2格 Char"/>
    <w:link w:val="92"/>
    <w:autoRedefine/>
    <w:qFormat/>
    <w:uiPriority w:val="0"/>
    <w:rPr>
      <w:rFonts w:ascii="仿宋_GB2312" w:hAnsi="宋体" w:eastAsia="仿宋_GB2312" w:cs="Times New Roman"/>
      <w:sz w:val="31"/>
      <w:szCs w:val="28"/>
    </w:rPr>
  </w:style>
  <w:style w:type="paragraph" w:customStyle="1" w:styleId="92">
    <w:name w:val="正文缩进2格"/>
    <w:basedOn w:val="1"/>
    <w:link w:val="91"/>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93">
    <w:name w:val="cn_text1"/>
    <w:autoRedefine/>
    <w:qFormat/>
    <w:uiPriority w:val="0"/>
    <w:rPr>
      <w:rFonts w:hint="default" w:ascii="ˎ̥" w:hAnsi="ˎ̥"/>
      <w:color w:val="003399"/>
      <w:spacing w:val="15"/>
      <w:sz w:val="18"/>
      <w:szCs w:val="18"/>
    </w:rPr>
  </w:style>
  <w:style w:type="character" w:customStyle="1" w:styleId="94">
    <w:name w:val="ssss Char"/>
    <w:autoRedefine/>
    <w:qFormat/>
    <w:uiPriority w:val="0"/>
    <w:rPr>
      <w:rFonts w:eastAsia="宋体"/>
      <w:kern w:val="2"/>
      <w:sz w:val="24"/>
      <w:szCs w:val="24"/>
      <w:lang w:val="en-US" w:eastAsia="zh-CN" w:bidi="ar-SA"/>
    </w:rPr>
  </w:style>
  <w:style w:type="character" w:customStyle="1" w:styleId="95">
    <w:name w:val="标题 4 Char1"/>
    <w:autoRedefine/>
    <w:qFormat/>
    <w:uiPriority w:val="0"/>
    <w:rPr>
      <w:rFonts w:ascii="Arial" w:hAnsi="Arial" w:eastAsia="黑体"/>
      <w:b/>
      <w:bCs/>
      <w:kern w:val="2"/>
      <w:sz w:val="28"/>
      <w:szCs w:val="28"/>
      <w:lang w:val="en-US" w:eastAsia="zh-CN" w:bidi="ar-SA"/>
    </w:rPr>
  </w:style>
  <w:style w:type="character" w:customStyle="1" w:styleId="96">
    <w:name w:val="列表段落 字符"/>
    <w:autoRedefine/>
    <w:qFormat/>
    <w:uiPriority w:val="34"/>
    <w:rPr>
      <w:rFonts w:ascii="Calibri" w:hAnsi="Calibri"/>
      <w:kern w:val="2"/>
      <w:sz w:val="21"/>
      <w:szCs w:val="22"/>
    </w:rPr>
  </w:style>
  <w:style w:type="character" w:customStyle="1" w:styleId="97">
    <w:name w:val="批注框文本 Char1"/>
    <w:autoRedefine/>
    <w:semiHidden/>
    <w:qFormat/>
    <w:uiPriority w:val="99"/>
    <w:rPr>
      <w:rFonts w:ascii="Times New Roman" w:hAnsi="Times New Roman" w:eastAsia="宋体" w:cs="Times New Roman"/>
      <w:sz w:val="18"/>
      <w:szCs w:val="18"/>
    </w:rPr>
  </w:style>
  <w:style w:type="paragraph" w:customStyle="1" w:styleId="98">
    <w:name w:val="样式 正文文本缩进 3 + 四号"/>
    <w:basedOn w:val="31"/>
    <w:autoRedefine/>
    <w:qFormat/>
    <w:uiPriority w:val="0"/>
    <w:pPr>
      <w:spacing w:after="0" w:line="360" w:lineRule="auto"/>
      <w:ind w:left="0" w:leftChars="0" w:firstLine="437"/>
    </w:pPr>
    <w:rPr>
      <w:sz w:val="24"/>
      <w:szCs w:val="21"/>
    </w:rPr>
  </w:style>
  <w:style w:type="paragraph" w:customStyle="1" w:styleId="99">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0">
    <w:name w:val="正文缩进1"/>
    <w:basedOn w:val="1"/>
    <w:autoRedefine/>
    <w:qFormat/>
    <w:uiPriority w:val="0"/>
    <w:pPr>
      <w:widowControl/>
      <w:ind w:firstLine="420"/>
      <w:jc w:val="left"/>
    </w:pPr>
    <w:rPr>
      <w:kern w:val="0"/>
    </w:rPr>
  </w:style>
  <w:style w:type="paragraph" w:customStyle="1" w:styleId="101">
    <w:name w:val="样式 宋体 四号 黑色 左侧:  0.74 厘米 首行缩进:  0.74 厘米 行距: 1.5 倍行距"/>
    <w:basedOn w:val="1"/>
    <w:autoRedefine/>
    <w:qFormat/>
    <w:uiPriority w:val="0"/>
    <w:pPr>
      <w:spacing w:line="360" w:lineRule="auto"/>
      <w:ind w:firstLine="420"/>
    </w:pPr>
    <w:rPr>
      <w:rFonts w:ascii="宋体"/>
      <w:color w:val="000000"/>
      <w:sz w:val="24"/>
      <w:szCs w:val="21"/>
    </w:rPr>
  </w:style>
  <w:style w:type="paragraph" w:customStyle="1" w:styleId="102">
    <w:name w:val="无间隔1"/>
    <w:autoRedefine/>
    <w:qFormat/>
    <w:uiPriority w:val="0"/>
    <w:rPr>
      <w:rFonts w:ascii="Times New Roman" w:hAnsi="Times New Roman" w:eastAsia="宋体" w:cs="Calibri"/>
      <w:sz w:val="22"/>
      <w:lang w:val="en-US" w:eastAsia="zh-CN" w:bidi="ar-SA"/>
    </w:rPr>
  </w:style>
  <w:style w:type="paragraph" w:customStyle="1" w:styleId="103">
    <w:name w:val="样式 样式 ssss + 宋体 五号 + 首行缩进:  2 字符"/>
    <w:basedOn w:val="104"/>
    <w:autoRedefine/>
    <w:qFormat/>
    <w:uiPriority w:val="0"/>
    <w:pPr>
      <w:ind w:firstLine="480"/>
    </w:pPr>
  </w:style>
  <w:style w:type="paragraph" w:customStyle="1" w:styleId="104">
    <w:name w:val="样式 ssss + 宋体 五号"/>
    <w:basedOn w:val="80"/>
    <w:autoRedefine/>
    <w:qFormat/>
    <w:uiPriority w:val="0"/>
    <w:pPr>
      <w:ind w:firstLine="420"/>
    </w:pPr>
    <w:rPr>
      <w:rFonts w:ascii="宋体" w:hAnsi="宋体" w:cs="宋体"/>
      <w:szCs w:val="20"/>
    </w:rPr>
  </w:style>
  <w:style w:type="paragraph" w:customStyle="1" w:styleId="105">
    <w:name w:val="Char Char Char Char"/>
    <w:basedOn w:val="1"/>
    <w:autoRedefine/>
    <w:qFormat/>
    <w:uiPriority w:val="0"/>
    <w:rPr>
      <w:rFonts w:ascii="Tahoma" w:hAnsi="Tahoma"/>
      <w:sz w:val="24"/>
      <w:szCs w:val="20"/>
    </w:rPr>
  </w:style>
  <w:style w:type="paragraph" w:customStyle="1" w:styleId="106">
    <w:name w:val="2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ec_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08">
    <w:name w:val="标题-----3"/>
    <w:basedOn w:val="5"/>
    <w:autoRedefine/>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Char Char Char"/>
    <w:basedOn w:val="1"/>
    <w:autoRedefine/>
    <w:qFormat/>
    <w:uiPriority w:val="0"/>
  </w:style>
  <w:style w:type="paragraph" w:customStyle="1" w:styleId="110">
    <w:name w:val="表格正文"/>
    <w:basedOn w:val="1"/>
    <w:autoRedefine/>
    <w:qFormat/>
    <w:uiPriority w:val="0"/>
    <w:pPr>
      <w:spacing w:line="360" w:lineRule="auto"/>
      <w:jc w:val="left"/>
    </w:pPr>
    <w:rPr>
      <w:rFonts w:ascii="Calibri" w:hAnsi="Calibri"/>
      <w:color w:val="000000"/>
      <w:szCs w:val="28"/>
    </w:rPr>
  </w:style>
  <w:style w:type="paragraph" w:customStyle="1" w:styleId="111">
    <w:name w:val="Char Char Char Char1"/>
    <w:basedOn w:val="1"/>
    <w:autoRedefine/>
    <w:qFormat/>
    <w:uiPriority w:val="0"/>
    <w:rPr>
      <w:rFonts w:ascii="Tahoma" w:hAnsi="Tahoma"/>
      <w:sz w:val="24"/>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样式 ssss + 居中"/>
    <w:basedOn w:val="80"/>
    <w:autoRedefine/>
    <w:qFormat/>
    <w:uiPriority w:val="0"/>
    <w:pPr>
      <w:jc w:val="center"/>
    </w:pPr>
    <w:rPr>
      <w:rFonts w:cs="宋体"/>
      <w:szCs w:val="20"/>
    </w:rPr>
  </w:style>
  <w:style w:type="paragraph" w:customStyle="1" w:styleId="114">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w:basedOn w:val="1"/>
    <w:autoRedefine/>
    <w:qFormat/>
    <w:uiPriority w:val="0"/>
    <w:rPr>
      <w:rFonts w:ascii="Tahoma" w:hAnsi="Tahoma"/>
      <w:sz w:val="24"/>
      <w:szCs w:val="20"/>
    </w:rPr>
  </w:style>
  <w:style w:type="paragraph" w:customStyle="1" w:styleId="116">
    <w:name w:val="xl25"/>
    <w:basedOn w:val="1"/>
    <w:autoRedefine/>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7">
    <w:name w:val="样式8"/>
    <w:basedOn w:val="8"/>
    <w:autoRedefine/>
    <w:qFormat/>
    <w:uiPriority w:val="0"/>
    <w:pPr>
      <w:tabs>
        <w:tab w:val="left" w:pos="1152"/>
      </w:tabs>
    </w:pPr>
  </w:style>
  <w:style w:type="paragraph" w:customStyle="1" w:styleId="118">
    <w:name w:val="标题------4"/>
    <w:basedOn w:val="6"/>
    <w:autoRedefine/>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9">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20">
    <w:name w:val="Char Char Char Char Char Char Char Char Char Char Char Char Char1"/>
    <w:basedOn w:val="1"/>
    <w:autoRedefine/>
    <w:qFormat/>
    <w:uiPriority w:val="0"/>
    <w:rPr>
      <w:sz w:val="24"/>
    </w:rPr>
  </w:style>
  <w:style w:type="paragraph" w:customStyle="1" w:styleId="12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表格"/>
    <w:basedOn w:val="1"/>
    <w:autoRedefine/>
    <w:qFormat/>
    <w:uiPriority w:val="0"/>
    <w:rPr>
      <w:rFonts w:ascii="Arial" w:hAnsi="Arial"/>
      <w:sz w:val="24"/>
    </w:rPr>
  </w:style>
  <w:style w:type="paragraph" w:customStyle="1" w:styleId="123">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样式1"/>
    <w:basedOn w:val="1"/>
    <w:autoRedefine/>
    <w:qFormat/>
    <w:uiPriority w:val="0"/>
    <w:pPr>
      <w:spacing w:before="120" w:after="120" w:line="360" w:lineRule="auto"/>
      <w:ind w:firstLine="480" w:firstLineChars="200"/>
    </w:pPr>
    <w:rPr>
      <w:sz w:val="24"/>
      <w:szCs w:val="20"/>
    </w:rPr>
  </w:style>
  <w:style w:type="paragraph" w:customStyle="1" w:styleId="1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7">
    <w:name w:val="Char Char Char Char Char Char Char Char Char Char"/>
    <w:basedOn w:val="1"/>
    <w:autoRedefine/>
    <w:qFormat/>
    <w:uiPriority w:val="0"/>
    <w:rPr>
      <w:rFonts w:ascii="Tahoma" w:hAnsi="Tahoma"/>
      <w:sz w:val="24"/>
      <w:szCs w:val="20"/>
    </w:rPr>
  </w:style>
  <w:style w:type="paragraph" w:customStyle="1" w:styleId="128">
    <w:name w:val="Char1"/>
    <w:basedOn w:val="1"/>
    <w:autoRedefine/>
    <w:qFormat/>
    <w:uiPriority w:val="0"/>
    <w:pPr>
      <w:tabs>
        <w:tab w:val="left" w:pos="360"/>
      </w:tabs>
    </w:pPr>
    <w:rPr>
      <w:sz w:val="24"/>
    </w:rPr>
  </w:style>
  <w:style w:type="paragraph" w:customStyle="1" w:styleId="129">
    <w:name w:val="Header2"/>
    <w:basedOn w:val="1"/>
    <w:autoRedefine/>
    <w:qFormat/>
    <w:uiPriority w:val="0"/>
    <w:pPr>
      <w:numPr>
        <w:ilvl w:val="0"/>
        <w:numId w:val="1"/>
      </w:numPr>
    </w:pPr>
  </w:style>
  <w:style w:type="paragraph" w:customStyle="1" w:styleId="130">
    <w:name w:val="普通(网站) Cha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31">
    <w:name w:val="2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2">
    <w:name w:val="DAS正文"/>
    <w:basedOn w:val="1"/>
    <w:autoRedefine/>
    <w:qFormat/>
    <w:uiPriority w:val="0"/>
    <w:pPr>
      <w:spacing w:line="360" w:lineRule="auto"/>
      <w:ind w:right="181" w:firstLine="480" w:firstLineChars="200"/>
    </w:pPr>
    <w:rPr>
      <w:rFonts w:ascii="Verdana" w:hAnsi="Verdana"/>
      <w:sz w:val="24"/>
      <w:szCs w:val="20"/>
    </w:rPr>
  </w:style>
  <w:style w:type="table" w:customStyle="1" w:styleId="133">
    <w:name w:val="网格型1"/>
    <w:basedOn w:val="37"/>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font51"/>
    <w:autoRedefine/>
    <w:qFormat/>
    <w:uiPriority w:val="0"/>
    <w:rPr>
      <w:rFonts w:hint="default" w:ascii="Times New Roman" w:hAnsi="Times New Roman" w:cs="Times New Roman"/>
      <w:color w:val="000000"/>
      <w:sz w:val="20"/>
      <w:szCs w:val="20"/>
      <w:u w:val="none"/>
    </w:rPr>
  </w:style>
  <w:style w:type="character" w:customStyle="1" w:styleId="135">
    <w:name w:val="font61"/>
    <w:autoRedefine/>
    <w:qFormat/>
    <w:uiPriority w:val="0"/>
    <w:rPr>
      <w:rFonts w:hint="default" w:ascii="Times New Roman" w:hAnsi="Times New Roman" w:cs="Times New Roman"/>
      <w:color w:val="000000"/>
      <w:sz w:val="21"/>
      <w:szCs w:val="21"/>
      <w:u w:val="none"/>
    </w:rPr>
  </w:style>
  <w:style w:type="character" w:customStyle="1" w:styleId="136">
    <w:name w:val="font71"/>
    <w:autoRedefine/>
    <w:qFormat/>
    <w:uiPriority w:val="0"/>
    <w:rPr>
      <w:rFonts w:hint="eastAsia" w:ascii="宋体" w:hAnsi="宋体" w:eastAsia="宋体" w:cs="宋体"/>
      <w:color w:val="000000"/>
      <w:sz w:val="22"/>
      <w:szCs w:val="22"/>
      <w:u w:val="none"/>
    </w:rPr>
  </w:style>
  <w:style w:type="paragraph" w:customStyle="1" w:styleId="137">
    <w:name w:val="表格CXH"/>
    <w:basedOn w:val="1"/>
    <w:autoRedefine/>
    <w:qFormat/>
    <w:uiPriority w:val="0"/>
    <w:pPr>
      <w:spacing w:line="276" w:lineRule="auto"/>
    </w:pPr>
    <w:rPr>
      <w:rFonts w:ascii="等线" w:hAnsi="等线"/>
    </w:rPr>
  </w:style>
  <w:style w:type="paragraph" w:customStyle="1" w:styleId="138">
    <w:name w:val="段"/>
    <w:next w:val="139"/>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139">
    <w:name w:val="正文 A"/>
    <w:next w:val="138"/>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40">
    <w:name w:val="cf01"/>
    <w:autoRedefine/>
    <w:qFormat/>
    <w:uiPriority w:val="0"/>
    <w:rPr>
      <w:rFonts w:hint="eastAsia" w:ascii="Microsoft YaHei UI" w:hAnsi="Microsoft YaHei UI" w:eastAsia="Microsoft YaHei UI"/>
      <w:sz w:val="18"/>
      <w:szCs w:val="18"/>
    </w:rPr>
  </w:style>
  <w:style w:type="paragraph" w:customStyle="1" w:styleId="141">
    <w:name w:val="Table Text"/>
    <w:basedOn w:val="1"/>
    <w:autoRedefine/>
    <w:semiHidden/>
    <w:qFormat/>
    <w:uiPriority w:val="0"/>
    <w:pPr>
      <w:widowControl/>
      <w:jc w:val="left"/>
    </w:pPr>
    <w:rPr>
      <w:rFonts w:eastAsia="Times New Roman"/>
      <w:color w:val="000000"/>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3414</Words>
  <Characters>19462</Characters>
  <Lines>162</Lines>
  <Paragraphs>45</Paragraphs>
  <TotalTime>69</TotalTime>
  <ScaleCrop>false</ScaleCrop>
  <LinksUpToDate>false</LinksUpToDate>
  <CharactersWithSpaces>22831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2024-01-19T00:19:00Z</dcterms:created>
  <dc:creator>User</dc:creator>
  <cp:lastModifiedBy>Administrator</cp:lastModifiedBy>
  <cp:lastPrinted>2023-07-28T06:59:00Z</cp:lastPrinted>
  <dcterms:modified xsi:type="dcterms:W3CDTF">2024-02-06T03:34:38Z</dcterms:modified>
  <dc:title>南通市Ⅹ项目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5703D864B0C34C7E951BE3AE91C9BEAC_13</vt:lpwstr>
  </property>
  <property fmtid="{D5CDD505-2E9C-101B-9397-08002B2CF9AE}" pid="4" name="ClassificationContentMarkingHeaderShapeIds">
    <vt:lpwstr>3,4,5</vt:lpwstr>
  </property>
  <property fmtid="{D5CDD505-2E9C-101B-9397-08002B2CF9AE}" pid="5" name="ClassificationContentMarkingHeaderFontProps">
    <vt:lpwstr>#000000,8,arial</vt:lpwstr>
  </property>
  <property fmtid="{D5CDD505-2E9C-101B-9397-08002B2CF9AE}" pid="6" name="ClassificationContentMarkingHeaderText">
    <vt:lpwstr>KONE Internal</vt:lpwstr>
  </property>
</Properties>
</file>