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sz w:val="40"/>
          <w:szCs w:val="40"/>
        </w:rPr>
      </w:pPr>
      <w:bookmarkStart w:id="0" w:name="_GoBack"/>
      <w:r>
        <w:rPr>
          <w:rFonts w:hint="eastAsia" w:ascii="微软雅黑" w:hAnsi="微软雅黑" w:eastAsia="微软雅黑" w:cs="微软雅黑"/>
          <w:sz w:val="40"/>
          <w:szCs w:val="40"/>
        </w:rPr>
        <w:t>南通港口集团有限公司</w:t>
      </w:r>
    </w:p>
    <w:bookmarkEnd w:id="0"/>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sz w:val="40"/>
          <w:szCs w:val="40"/>
        </w:rPr>
      </w:pPr>
      <w:r>
        <w:rPr>
          <w:rFonts w:hint="eastAsia" w:ascii="微软雅黑" w:hAnsi="微软雅黑" w:eastAsia="微软雅黑" w:cs="微软雅黑"/>
          <w:sz w:val="40"/>
          <w:szCs w:val="40"/>
        </w:rPr>
        <w:t>企业参与高等职业教育人才培养年度报告（</w:t>
      </w:r>
      <w:r>
        <w:rPr>
          <w:rFonts w:hint="eastAsia" w:ascii="微软雅黑" w:hAnsi="微软雅黑" w:eastAsia="微软雅黑" w:cs="微软雅黑"/>
          <w:sz w:val="40"/>
          <w:szCs w:val="40"/>
        </w:rPr>
        <w:t>20</w:t>
      </w:r>
      <w:r>
        <w:rPr>
          <w:rFonts w:hint="eastAsia" w:ascii="微软雅黑" w:hAnsi="微软雅黑" w:eastAsia="微软雅黑" w:cs="微软雅黑"/>
          <w:sz w:val="40"/>
          <w:szCs w:val="40"/>
          <w:lang w:val="en-US" w:eastAsia="zh-CN"/>
        </w:rPr>
        <w:t>22</w:t>
      </w:r>
      <w:r>
        <w:rPr>
          <w:rFonts w:hint="eastAsia" w:ascii="微软雅黑" w:hAnsi="微软雅黑" w:eastAsia="微软雅黑" w:cs="微软雅黑"/>
          <w:sz w:val="40"/>
          <w:szCs w:val="40"/>
        </w:rPr>
        <w:t>）</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rPr>
        <w:t>一、企业概况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 xml:space="preserve">南通港口集团有限公司地处江苏省南通市境内，东临黄海、南临长江，是长江北翼最临近海域的港口。集团公司拥有分公司4家，子公司3家，控股、参股公司6家。公司拥有长江岸线4166米；千吨级以上公用生产泊位24座，其中万吨级以上14座，最大靠泊能力为20万吨级；堆场面积67万平方米，仓库面积6万平方米。主要从事港口的建设和经营，货物装卸、堆存及物流配送、客货运代理、理货；港内船舶拖带服务，船舶航修等业务。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 xml:space="preserve">以港口集团为核心的南通港是国家一类开放口岸，国家主枢纽港，上海国际航运中心组合港的主要成员。1982年批准对外国籍船舶开放，现与世界上96个国家和地区的312个港口有通航关系。南通港海、江、河交汇贯通，交通便利，是理想的物资中转地，水路与通吕、通扬运河及京杭大运河贯通，溯江而上可达长江沿线各港；陆路与204、318国道、宁通、通盐、通启和沿海高速公路连接。世界第一斜拉桥苏通大桥，使南通真正融入上海一小时都市圈和长三角经济圈。 </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南通港口集团与</w:t>
      </w:r>
      <w:r>
        <w:rPr>
          <w:rFonts w:hint="eastAsia" w:ascii="仿宋" w:hAnsi="仿宋" w:eastAsia="仿宋" w:cs="仿宋"/>
          <w:color w:val="000000"/>
          <w:sz w:val="28"/>
          <w:szCs w:val="28"/>
          <w:lang w:val="en-US" w:eastAsia="zh-CN"/>
        </w:rPr>
        <w:t>江苏</w:t>
      </w:r>
      <w:r>
        <w:rPr>
          <w:rFonts w:hint="eastAsia" w:ascii="仿宋" w:hAnsi="仿宋" w:eastAsia="仿宋" w:cs="仿宋"/>
          <w:color w:val="000000"/>
          <w:sz w:val="28"/>
          <w:szCs w:val="28"/>
        </w:rPr>
        <w:t>航运职业技术学院紧密合作，积极开发建设校外实训基地，为系部教师、学生专业实践能力的提升提供良好的孵化基地。</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b/>
          <w:bCs/>
          <w:sz w:val="28"/>
          <w:szCs w:val="28"/>
          <w:lang w:val="en-US" w:eastAsia="zh-CN"/>
        </w:rPr>
        <w:t>二、</w:t>
      </w:r>
      <w:r>
        <w:rPr>
          <w:rFonts w:hint="eastAsia" w:ascii="仿宋" w:hAnsi="仿宋" w:eastAsia="仿宋" w:cs="仿宋"/>
          <w:b/>
          <w:bCs/>
          <w:sz w:val="28"/>
          <w:szCs w:val="28"/>
        </w:rPr>
        <w:t>参与办学，共同培养专业人才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1.集团全程参与人才培养方式制定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rPr>
        <w:t>南通港口集团积极参与职业教育人才培养过程，形成校企分工合作，协同育人，共同发展的长效机制。</w:t>
      </w:r>
      <w:r>
        <w:rPr>
          <w:rFonts w:hint="eastAsia" w:ascii="仿宋" w:hAnsi="仿宋" w:eastAsia="仿宋" w:cs="仿宋"/>
          <w:color w:val="000000"/>
          <w:sz w:val="28"/>
          <w:szCs w:val="28"/>
          <w:lang w:val="en-US" w:eastAsia="zh-CN"/>
        </w:rPr>
        <w:t>每年</w:t>
      </w:r>
      <w:r>
        <w:rPr>
          <w:rFonts w:hint="eastAsia" w:ascii="仿宋" w:hAnsi="仿宋" w:eastAsia="仿宋" w:cs="仿宋"/>
          <w:color w:val="000000"/>
          <w:sz w:val="28"/>
          <w:szCs w:val="28"/>
        </w:rPr>
        <w:t>集团参与</w:t>
      </w:r>
      <w:r>
        <w:rPr>
          <w:rFonts w:hint="eastAsia" w:ascii="仿宋" w:hAnsi="仿宋" w:eastAsia="仿宋" w:cs="仿宋"/>
          <w:color w:val="000000"/>
          <w:sz w:val="28"/>
          <w:szCs w:val="28"/>
          <w:lang w:val="en-US" w:eastAsia="zh-CN"/>
        </w:rPr>
        <w:t>运输管理与经济学院运输管理专业建设指导委员</w:t>
      </w:r>
      <w:r>
        <w:rPr>
          <w:rFonts w:hint="eastAsia" w:ascii="仿宋" w:hAnsi="仿宋" w:eastAsia="仿宋" w:cs="仿宋"/>
          <w:color w:val="000000"/>
          <w:sz w:val="28"/>
          <w:szCs w:val="28"/>
        </w:rPr>
        <w:t>年会，</w:t>
      </w:r>
      <w:r>
        <w:rPr>
          <w:rFonts w:hint="eastAsia" w:ascii="仿宋" w:hAnsi="仿宋" w:eastAsia="仿宋" w:cs="仿宋"/>
          <w:color w:val="000000"/>
          <w:sz w:val="28"/>
          <w:szCs w:val="28"/>
          <w:lang w:val="en-US" w:eastAsia="zh-CN"/>
        </w:rPr>
        <w:t>参与港口综合运营管理实训中心建设调研和评审</w:t>
      </w:r>
      <w:r>
        <w:rPr>
          <w:rFonts w:hint="eastAsia" w:ascii="仿宋" w:hAnsi="仿宋" w:eastAsia="仿宋" w:cs="仿宋"/>
          <w:color w:val="000000"/>
          <w:sz w:val="28"/>
          <w:szCs w:val="28"/>
        </w:rPr>
        <w:t>。</w:t>
      </w:r>
      <w:r>
        <w:rPr>
          <w:rFonts w:hint="eastAsia" w:ascii="仿宋" w:hAnsi="仿宋" w:eastAsia="仿宋" w:cs="仿宋"/>
          <w:sz w:val="28"/>
          <w:szCs w:val="28"/>
        </w:rPr>
        <w:t>集团全程参与港口与航运管理专业设置调研，教学计划制订，教材选用，课程开设，教学内容选取，实践教学的实施，毕业生就业信息的反馈，人才培养方案的制订、实施、修改、优化等环节（见图1，图2）。</w:t>
      </w:r>
    </w:p>
    <w:p>
      <w:pPr>
        <w:spacing w:line="360" w:lineRule="auto"/>
        <w:ind w:right="105" w:rightChars="50"/>
        <w:jc w:val="left"/>
        <w:rPr>
          <w:rFonts w:ascii="微软雅黑" w:hAnsi="微软雅黑" w:eastAsia="微软雅黑"/>
          <w:sz w:val="24"/>
          <w:szCs w:val="24"/>
        </w:rPr>
      </w:pPr>
      <w:r>
        <w:rPr>
          <w:rFonts w:hint="eastAsia" w:ascii="宋体" w:hAnsi="宋体" w:eastAsia="宋体" w:cs="宋体"/>
          <w:kern w:val="0"/>
          <w:sz w:val="24"/>
          <w:szCs w:val="24"/>
          <w:lang w:val="en-US" w:eastAsia="zh-CN"/>
        </w:rPr>
        <w:t xml:space="preserve">  </w:t>
      </w:r>
      <w:r>
        <w:rPr>
          <w:rFonts w:ascii="微软雅黑" w:hAnsi="微软雅黑" w:eastAsia="微软雅黑"/>
          <w:sz w:val="24"/>
          <w:szCs w:val="24"/>
        </w:rPr>
        <w:drawing>
          <wp:inline distT="0" distB="0" distL="114300" distR="114300">
            <wp:extent cx="4960620" cy="2308225"/>
            <wp:effectExtent l="0" t="0" r="5080" b="3175"/>
            <wp:docPr id="2" name="图片 2" descr="IMG_20191018_16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91018_162141"/>
                    <pic:cNvPicPr>
                      <a:picLocks noChangeAspect="1"/>
                    </pic:cNvPicPr>
                  </pic:nvPicPr>
                  <pic:blipFill>
                    <a:blip r:embed="rId4"/>
                    <a:stretch>
                      <a:fillRect/>
                    </a:stretch>
                  </pic:blipFill>
                  <pic:spPr>
                    <a:xfrm>
                      <a:off x="0" y="0"/>
                      <a:ext cx="4960620" cy="2308225"/>
                    </a:xfrm>
                    <a:prstGeom prst="rect">
                      <a:avLst/>
                    </a:prstGeom>
                  </pic:spPr>
                </pic:pic>
              </a:graphicData>
            </a:graphic>
          </wp:inline>
        </w:drawing>
      </w:r>
    </w:p>
    <w:p>
      <w:pPr>
        <w:spacing w:line="360" w:lineRule="exact"/>
        <w:ind w:right="105" w:rightChars="50"/>
        <w:jc w:val="center"/>
        <w:rPr>
          <w:rFonts w:ascii="微软雅黑" w:hAnsi="微软雅黑" w:eastAsia="微软雅黑"/>
          <w:szCs w:val="24"/>
        </w:rPr>
      </w:pPr>
      <w:r>
        <w:rPr>
          <w:rFonts w:hint="eastAsia" w:ascii="微软雅黑" w:hAnsi="微软雅黑" w:eastAsia="微软雅黑"/>
          <w:szCs w:val="24"/>
        </w:rPr>
        <w:t>图</w:t>
      </w:r>
      <w:r>
        <w:rPr>
          <w:rFonts w:ascii="微软雅黑" w:hAnsi="微软雅黑" w:eastAsia="微软雅黑"/>
          <w:szCs w:val="24"/>
        </w:rPr>
        <w:t xml:space="preserve">1  </w:t>
      </w:r>
      <w:r>
        <w:rPr>
          <w:rFonts w:hint="eastAsia" w:ascii="微软雅黑" w:hAnsi="微软雅黑" w:eastAsia="微软雅黑"/>
          <w:szCs w:val="24"/>
        </w:rPr>
        <w:t>南通港口集团参与专业建设指导委员会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2.集团发挥校外实训基地作用，引导学生顶岗实习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第五学期</w:t>
      </w:r>
      <w:r>
        <w:rPr>
          <w:rFonts w:hint="eastAsia" w:ascii="仿宋" w:hAnsi="仿宋" w:eastAsia="仿宋" w:cs="仿宋"/>
          <w:sz w:val="28"/>
          <w:szCs w:val="28"/>
          <w:lang w:val="en-US" w:eastAsia="zh-CN"/>
        </w:rPr>
        <w:t>专业</w:t>
      </w:r>
      <w:r>
        <w:rPr>
          <w:rFonts w:hint="eastAsia" w:ascii="仿宋" w:hAnsi="仿宋" w:eastAsia="仿宋" w:cs="仿宋"/>
          <w:sz w:val="28"/>
          <w:szCs w:val="28"/>
        </w:rPr>
        <w:t>学生以实习生的身份进入企业，进行为期5个月的顶岗实习，接受集团系统化的制度及技能培训，确保对公司规章制度和业务的认识，在实习岗位上发挥自身能力，完成工作考核。实习结束后，学生和指导老师都要撰写实习报告，对实习取得的成绩和经验及时总结，对存在的问题及时向学校反馈汇报。学校按照考核制度进行综合性的考核评价。考核的主体应有企业专家、企业指导老师和学校指导老师，使顶岗实习的每个环节的管理都落到实处。</w:t>
      </w:r>
    </w:p>
    <w:p>
      <w:pPr>
        <w:ind w:firstLine="480" w:firstLineChars="200"/>
        <w:jc w:val="left"/>
      </w:pPr>
      <w:r>
        <w:rPr>
          <w:rFonts w:ascii="微软雅黑" w:hAnsi="微软雅黑" w:eastAsia="微软雅黑" w:cs="Times New Roman"/>
          <w:color w:val="000000"/>
          <w:sz w:val="24"/>
          <w:szCs w:val="24"/>
        </w:rPr>
        <w:drawing>
          <wp:inline distT="0" distB="0" distL="0" distR="0">
            <wp:extent cx="2533650" cy="1899920"/>
            <wp:effectExtent l="0" t="0" r="635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51892" cy="1913831"/>
                    </a:xfrm>
                    <a:prstGeom prst="rect">
                      <a:avLst/>
                    </a:prstGeom>
                    <a:noFill/>
                  </pic:spPr>
                </pic:pic>
              </a:graphicData>
            </a:graphic>
          </wp:inline>
        </w:drawing>
      </w:r>
      <w:r>
        <w:t xml:space="preserve"> </w:t>
      </w:r>
      <w:r>
        <w:rPr>
          <w:rFonts w:ascii="微软雅黑" w:hAnsi="微软雅黑" w:eastAsia="微软雅黑" w:cs="Times New Roman"/>
          <w:color w:val="000000"/>
          <w:sz w:val="24"/>
          <w:szCs w:val="24"/>
        </w:rPr>
        <w:drawing>
          <wp:inline distT="0" distB="0" distL="0" distR="0">
            <wp:extent cx="2228215" cy="1889125"/>
            <wp:effectExtent l="0" t="0" r="6985" b="3175"/>
            <wp:docPr id="256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图片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255972" cy="1913227"/>
                    </a:xfrm>
                    <a:prstGeom prst="rect">
                      <a:avLst/>
                    </a:prstGeom>
                    <a:noFill/>
                    <a:ln>
                      <a:noFill/>
                    </a:ln>
                  </pic:spPr>
                </pic:pic>
              </a:graphicData>
            </a:graphic>
          </wp:inline>
        </w:drawing>
      </w:r>
    </w:p>
    <w:p>
      <w:pPr>
        <w:ind w:firstLine="420" w:firstLineChars="200"/>
        <w:jc w:val="center"/>
        <w:rPr>
          <w:rFonts w:hint="eastAsia" w:ascii="微软雅黑" w:hAnsi="微软雅黑" w:eastAsia="微软雅黑"/>
          <w:szCs w:val="24"/>
        </w:rPr>
      </w:pPr>
      <w:r>
        <w:rPr>
          <w:rFonts w:hint="eastAsia" w:ascii="微软雅黑" w:hAnsi="微软雅黑" w:eastAsia="微软雅黑"/>
          <w:szCs w:val="24"/>
        </w:rPr>
        <w:t>图</w:t>
      </w:r>
      <w:r>
        <w:rPr>
          <w:rFonts w:hint="eastAsia" w:ascii="微软雅黑" w:hAnsi="微软雅黑" w:eastAsia="微软雅黑"/>
          <w:szCs w:val="24"/>
          <w:lang w:val="en-US" w:eastAsia="zh-CN"/>
        </w:rPr>
        <w:t>2</w:t>
      </w:r>
      <w:r>
        <w:rPr>
          <w:rFonts w:ascii="微软雅黑" w:hAnsi="微软雅黑" w:eastAsia="微软雅黑"/>
          <w:szCs w:val="24"/>
        </w:rPr>
        <w:t xml:space="preserve">   </w:t>
      </w:r>
      <w:r>
        <w:rPr>
          <w:rFonts w:hint="eastAsia" w:ascii="微软雅黑" w:hAnsi="微软雅黑" w:eastAsia="微软雅黑"/>
          <w:szCs w:val="24"/>
        </w:rPr>
        <w:t>学生在码头顶岗实习</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三、 参与教学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集团与学校互设教师企业工作站及大师工作室，通过教师挂职培养双创双师，聘任学校优秀科研人才担任企业技术顾问开展课题研发和设备革新与改造升级；选聘集团优秀技术人员担任虚拟仿真实训基地产业教授，参与人才培养和实训课程开发建设、大学生创新创业项目指导，推进产教融合发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集团还积极派遣技术骨干参加专业科研、教学推广，与专业教师合作进行教材开发、课题研究、教学成果申报等工作，取得了良好的效果，校企合作深度与广度不断拓展，更好的推动了专业发展，提升教师教学科研能力。同时专业教师长期为集团员工开展上岗培训、专项技能培训等。</w:t>
      </w:r>
    </w:p>
    <w:p>
      <w:pPr>
        <w:keepNext w:val="0"/>
        <w:keepLines w:val="0"/>
        <w:widowControl/>
        <w:suppressLineNumbers w:val="0"/>
        <w:jc w:val="left"/>
      </w:pPr>
      <w:r>
        <w:rPr>
          <w:rFonts w:hint="eastAsia" w:ascii="微软雅黑" w:hAnsi="微软雅黑" w:eastAsia="微软雅黑" w:cs="Times New Roman"/>
          <w:color w:val="000000"/>
          <w:sz w:val="24"/>
          <w:szCs w:val="24"/>
        </w:rPr>
        <w:t xml:space="preserve"> </w:t>
      </w:r>
      <w:r>
        <w:rPr>
          <w:rFonts w:ascii="微软雅黑" w:hAnsi="微软雅黑" w:eastAsia="微软雅黑" w:cs="Times New Roman"/>
          <w:color w:val="000000"/>
          <w:sz w:val="24"/>
          <w:szCs w:val="24"/>
        </w:rPr>
        <w:t xml:space="preserve">   </w:t>
      </w:r>
      <w:r>
        <w:rPr>
          <w:rFonts w:ascii="宋体" w:hAnsi="宋体" w:eastAsia="宋体" w:cs="宋体"/>
          <w:kern w:val="0"/>
          <w:sz w:val="24"/>
          <w:szCs w:val="24"/>
          <w:lang w:val="en-US" w:eastAsia="zh-CN" w:bidi="ar"/>
        </w:rPr>
        <w:drawing>
          <wp:inline distT="0" distB="0" distL="114300" distR="114300">
            <wp:extent cx="4478020" cy="3061335"/>
            <wp:effectExtent l="0" t="0" r="5080" b="1206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7"/>
                    <a:stretch>
                      <a:fillRect/>
                    </a:stretch>
                  </pic:blipFill>
                  <pic:spPr>
                    <a:xfrm>
                      <a:off x="0" y="0"/>
                      <a:ext cx="4478020" cy="3061335"/>
                    </a:xfrm>
                    <a:prstGeom prst="rect">
                      <a:avLst/>
                    </a:prstGeom>
                    <a:noFill/>
                    <a:ln w="9525">
                      <a:noFill/>
                    </a:ln>
                  </pic:spPr>
                </pic:pic>
              </a:graphicData>
            </a:graphic>
          </wp:inline>
        </w:drawing>
      </w:r>
    </w:p>
    <w:p>
      <w:pPr>
        <w:ind w:firstLine="420" w:firstLineChars="200"/>
        <w:jc w:val="center"/>
        <w:rPr>
          <w:rFonts w:hint="default" w:ascii="微软雅黑" w:hAnsi="微软雅黑" w:eastAsia="微软雅黑"/>
          <w:szCs w:val="24"/>
          <w:lang w:val="en-US" w:eastAsia="zh-CN"/>
        </w:rPr>
      </w:pPr>
      <w:r>
        <w:rPr>
          <w:rFonts w:hint="eastAsia" w:ascii="微软雅黑" w:hAnsi="微软雅黑" w:eastAsia="微软雅黑"/>
          <w:szCs w:val="24"/>
          <w:lang w:val="en-US" w:eastAsia="zh-CN"/>
        </w:rPr>
        <w:t>图3  集团员工参与教材编写</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四、助推企业发展、服务地方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学校积极与企业对接，紧贴南通地方经济社会发展需求，广泛开展校企合作，服务港口重大项目建设，上门为企业职工开展相应岗位技能的培训和基层班组长开展管理能力培训。为培养我市急需的紧缺性、实用型人才作出较大贡献，荣获南通高校服务经济贡献奖。</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Times New Roman"/>
          <w:color w:val="000000"/>
          <w:sz w:val="24"/>
          <w:szCs w:val="24"/>
          <w:lang w:eastAsia="zh-CN"/>
        </w:rPr>
      </w:pPr>
      <w:r>
        <w:rPr>
          <w:rFonts w:hint="eastAsia" w:ascii="微软雅黑" w:hAnsi="微软雅黑" w:eastAsia="微软雅黑" w:cs="Times New Roman"/>
          <w:color w:val="000000"/>
          <w:sz w:val="24"/>
          <w:szCs w:val="24"/>
          <w:lang w:eastAsia="zh-CN"/>
        </w:rPr>
        <w:drawing>
          <wp:inline distT="0" distB="0" distL="114300" distR="114300">
            <wp:extent cx="4612005" cy="2861945"/>
            <wp:effectExtent l="0" t="0" r="17145" b="14605"/>
            <wp:docPr id="6" name="图片 6" descr="mmexport157922782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mexport1579227828922"/>
                    <pic:cNvPicPr>
                      <a:picLocks noChangeAspect="1"/>
                    </pic:cNvPicPr>
                  </pic:nvPicPr>
                  <pic:blipFill>
                    <a:blip r:embed="rId8"/>
                    <a:stretch>
                      <a:fillRect/>
                    </a:stretch>
                  </pic:blipFill>
                  <pic:spPr>
                    <a:xfrm>
                      <a:off x="0" y="0"/>
                      <a:ext cx="4612005" cy="2861945"/>
                    </a:xfrm>
                    <a:prstGeom prst="rect">
                      <a:avLst/>
                    </a:prstGeom>
                  </pic:spPr>
                </pic:pic>
              </a:graphicData>
            </a:graphic>
          </wp:inline>
        </w:drawing>
      </w:r>
    </w:p>
    <w:p>
      <w:pPr>
        <w:ind w:firstLine="420" w:firstLineChars="200"/>
        <w:jc w:val="center"/>
        <w:rPr>
          <w:rFonts w:hint="eastAsia" w:ascii="微软雅黑" w:hAnsi="微软雅黑" w:eastAsia="微软雅黑"/>
          <w:szCs w:val="24"/>
          <w:lang w:val="en-US" w:eastAsia="zh-CN"/>
        </w:rPr>
      </w:pPr>
      <w:r>
        <w:rPr>
          <w:rFonts w:hint="eastAsia" w:ascii="微软雅黑" w:hAnsi="微软雅黑" w:eastAsia="微软雅黑"/>
          <w:szCs w:val="24"/>
          <w:lang w:val="en-US" w:eastAsia="zh-CN"/>
        </w:rPr>
        <w:t>图4   专业教师前往港口集团进行业务调研</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524375" cy="3114675"/>
            <wp:effectExtent l="0" t="0" r="9525" b="9525"/>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9"/>
                    <a:stretch>
                      <a:fillRect/>
                    </a:stretch>
                  </pic:blipFill>
                  <pic:spPr>
                    <a:xfrm>
                      <a:off x="0" y="0"/>
                      <a:ext cx="4524375" cy="3114675"/>
                    </a:xfrm>
                    <a:prstGeom prst="rect">
                      <a:avLst/>
                    </a:prstGeom>
                    <a:noFill/>
                    <a:ln w="9525">
                      <a:noFill/>
                    </a:ln>
                  </pic:spPr>
                </pic:pic>
              </a:graphicData>
            </a:graphic>
          </wp:inline>
        </w:drawing>
      </w:r>
    </w:p>
    <w:p>
      <w:pPr>
        <w:ind w:firstLine="420" w:firstLineChars="200"/>
        <w:jc w:val="center"/>
        <w:rPr>
          <w:rFonts w:hint="default" w:ascii="微软雅黑" w:hAnsi="微软雅黑" w:eastAsia="微软雅黑"/>
          <w:szCs w:val="24"/>
          <w:lang w:val="en-US" w:eastAsia="zh-CN"/>
        </w:rPr>
      </w:pPr>
      <w:r>
        <w:rPr>
          <w:rFonts w:hint="eastAsia" w:ascii="微软雅黑" w:hAnsi="微软雅黑" w:eastAsia="微软雅黑"/>
          <w:szCs w:val="24"/>
          <w:lang w:val="en-US" w:eastAsia="zh-CN"/>
        </w:rPr>
        <w:t>图5  专业教师为企业提供培训</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Times New Roman"/>
          <w:color w:val="000000"/>
          <w:sz w:val="24"/>
          <w:szCs w:val="24"/>
          <w:lang w:val="en-US" w:eastAsia="zh-CN"/>
        </w:rPr>
      </w:pPr>
      <w:r>
        <w:rPr>
          <w:rFonts w:hint="eastAsia" w:ascii="微软雅黑" w:hAnsi="微软雅黑" w:eastAsia="微软雅黑" w:cs="Times New Roman"/>
          <w:color w:val="000000"/>
          <w:sz w:val="24"/>
          <w:szCs w:val="24"/>
          <w:lang w:val="en-US" w:eastAsia="zh-CN"/>
        </w:rPr>
        <w:drawing>
          <wp:inline distT="0" distB="0" distL="114300" distR="114300">
            <wp:extent cx="5271770" cy="3757930"/>
            <wp:effectExtent l="0" t="0" r="11430" b="1270"/>
            <wp:docPr id="4" name="图片 4" descr="mmexport163457191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634571917818"/>
                    <pic:cNvPicPr>
                      <a:picLocks noChangeAspect="1"/>
                    </pic:cNvPicPr>
                  </pic:nvPicPr>
                  <pic:blipFill>
                    <a:blip r:embed="rId10"/>
                    <a:stretch>
                      <a:fillRect/>
                    </a:stretch>
                  </pic:blipFill>
                  <pic:spPr>
                    <a:xfrm>
                      <a:off x="0" y="0"/>
                      <a:ext cx="5271770" cy="3757930"/>
                    </a:xfrm>
                    <a:prstGeom prst="rect">
                      <a:avLst/>
                    </a:prstGeom>
                  </pic:spPr>
                </pic:pic>
              </a:graphicData>
            </a:graphic>
          </wp:inline>
        </w:drawing>
      </w:r>
    </w:p>
    <w:p>
      <w:pPr>
        <w:ind w:firstLine="420" w:firstLineChars="200"/>
        <w:jc w:val="center"/>
        <w:rPr>
          <w:rFonts w:hint="eastAsia" w:ascii="微软雅黑" w:hAnsi="微软雅黑" w:eastAsia="微软雅黑"/>
          <w:szCs w:val="24"/>
          <w:lang w:val="en-US" w:eastAsia="zh-CN"/>
        </w:rPr>
      </w:pPr>
      <w:r>
        <w:rPr>
          <w:rFonts w:hint="eastAsia" w:ascii="微软雅黑" w:hAnsi="微软雅黑" w:eastAsia="微软雅黑"/>
          <w:szCs w:val="24"/>
        </w:rPr>
        <w:t>图</w:t>
      </w:r>
      <w:r>
        <w:rPr>
          <w:rFonts w:hint="eastAsia" w:ascii="微软雅黑" w:hAnsi="微软雅黑" w:eastAsia="微软雅黑"/>
          <w:szCs w:val="24"/>
          <w:lang w:val="en-US" w:eastAsia="zh-CN"/>
        </w:rPr>
        <w:t xml:space="preserve">6 </w:t>
      </w:r>
      <w:r>
        <w:rPr>
          <w:rFonts w:ascii="微软雅黑" w:hAnsi="微软雅黑" w:eastAsia="微软雅黑"/>
          <w:szCs w:val="24"/>
        </w:rPr>
        <w:t xml:space="preserve">  </w:t>
      </w:r>
      <w:r>
        <w:rPr>
          <w:rFonts w:hint="eastAsia" w:ascii="微软雅黑" w:hAnsi="微软雅黑" w:eastAsia="微软雅黑"/>
          <w:szCs w:val="24"/>
          <w:lang w:val="en-US" w:eastAsia="zh-CN"/>
        </w:rPr>
        <w:t>专业荣获南通高校服务经济贡献奖</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r>
        <w:rPr>
          <w:rFonts w:hint="eastAsia" w:ascii="仿宋" w:hAnsi="仿宋" w:eastAsia="仿宋" w:cs="仿宋"/>
          <w:b/>
          <w:bCs/>
          <w:sz w:val="28"/>
          <w:szCs w:val="28"/>
          <w:lang w:val="en-US" w:eastAsia="zh-CN"/>
        </w:rPr>
        <w:t>五、校企合作保障制度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深入贯彻落实国务院《关于加快发展现代职业教育的决定》，加强校企紧密合作、产教深度融合。集团公司加入学校组建的由政府、行业、企业和学校四方代表成员组成职业教育集团理事会，双方按照《理事会章程》、《理事会议事制度》、《理事会监督制度》开展合作。为更好的开展校外顶岗实习，学院配套推进了校外顶岗实习管理改革，逐步完善了顶岗实习质量管理运行机制（见图7）。</w:t>
      </w:r>
    </w:p>
    <w:p>
      <w:pPr>
        <w:jc w:val="center"/>
        <w:rPr>
          <w:sz w:val="18"/>
          <w:szCs w:val="18"/>
        </w:rPr>
      </w:pPr>
      <w:r>
        <w:rPr>
          <w:rFonts w:hint="eastAsia"/>
          <w:sz w:val="18"/>
          <w:szCs w:val="18"/>
        </w:rPr>
        <w:object>
          <v:shape id="_x0000_i1025" o:spt="75" type="#_x0000_t75" style="height:225.5pt;width:355pt;" o:ole="t" filled="f" o:preferrelative="t" stroked="f" coordsize="21600,21600">
            <v:path/>
            <v:fill on="f" focussize="0,0"/>
            <v:stroke on="f" joinstyle="miter"/>
            <v:imagedata r:id="rId12" o:title=""/>
            <o:lock v:ext="edit" aspectratio="t"/>
            <w10:wrap type="none"/>
            <w10:anchorlock/>
          </v:shape>
          <o:OLEObject Type="Embed" ProgID="Visio.Drawing.11" ShapeID="_x0000_i1025" DrawAspect="Content" ObjectID="_1468075725" r:id="rId11">
            <o:LockedField>false</o:LockedField>
          </o:OLEObject>
        </w:object>
      </w:r>
    </w:p>
    <w:p>
      <w:pPr>
        <w:jc w:val="center"/>
        <w:rPr>
          <w:szCs w:val="18"/>
        </w:rPr>
      </w:pPr>
      <w:r>
        <w:rPr>
          <w:rFonts w:hint="eastAsia" w:ascii="宋体" w:cs="宋体"/>
          <w:bCs/>
          <w:color w:val="000000"/>
          <w:kern w:val="0"/>
          <w:szCs w:val="18"/>
          <w:lang w:val="zh-CN"/>
        </w:rPr>
        <w:t>图</w:t>
      </w:r>
      <w:r>
        <w:rPr>
          <w:rFonts w:hint="eastAsia" w:ascii="宋体" w:cs="宋体"/>
          <w:bCs/>
          <w:color w:val="000000"/>
          <w:kern w:val="0"/>
          <w:szCs w:val="18"/>
          <w:lang w:val="en-US" w:eastAsia="zh-CN"/>
        </w:rPr>
        <w:t>7</w:t>
      </w:r>
      <w:r>
        <w:rPr>
          <w:rFonts w:ascii="宋体" w:cs="宋体"/>
          <w:bCs/>
          <w:color w:val="000000"/>
          <w:kern w:val="0"/>
          <w:szCs w:val="18"/>
          <w:lang w:val="zh-CN"/>
        </w:rPr>
        <w:t xml:space="preserve">  </w:t>
      </w:r>
      <w:r>
        <w:rPr>
          <w:rFonts w:hint="eastAsia" w:ascii="宋体" w:cs="宋体"/>
          <w:bCs/>
          <w:color w:val="000000"/>
          <w:kern w:val="0"/>
          <w:szCs w:val="18"/>
          <w:lang w:val="zh-CN"/>
        </w:rPr>
        <w:t>港口与航运管理专业学生校外</w:t>
      </w:r>
      <w:r>
        <w:rPr>
          <w:rFonts w:hint="eastAsia" w:ascii="宋体" w:cs="宋体"/>
          <w:bCs/>
          <w:color w:val="000000"/>
          <w:kern w:val="0"/>
          <w:szCs w:val="18"/>
        </w:rPr>
        <w:t>顶岗实习质量管理运行机制图</w:t>
      </w:r>
    </w:p>
    <w:p>
      <w:pPr>
        <w:spacing w:line="360" w:lineRule="exact"/>
        <w:rPr>
          <w:rFonts w:ascii="微软雅黑" w:hAnsi="微软雅黑" w:eastAsia="微软雅黑" w:cs="Times New Roman"/>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六、挑战与展望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校企合作属于学校、企业以及学生三方的合作模式，现阶段学生意愿较低。如何让更好更快的融入企业，未来集团与专业将开发有效的合作活动，创新实习方式，取得更深入的校企合作。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微软雅黑" w:hAnsi="微软雅黑" w:eastAsia="微软雅黑" w:cs="Times New Roman"/>
          <w:color w:val="000000"/>
          <w:sz w:val="24"/>
          <w:szCs w:val="24"/>
        </w:rPr>
      </w:pPr>
      <w:r>
        <w:rPr>
          <w:rFonts w:hint="eastAsia" w:ascii="仿宋" w:hAnsi="仿宋" w:eastAsia="仿宋" w:cs="仿宋"/>
          <w:sz w:val="28"/>
          <w:szCs w:val="28"/>
          <w:lang w:val="en-US" w:eastAsia="zh-CN"/>
        </w:rPr>
        <w:t>同时校企合作还应积极开发教学资源，重点进行工学结合教材的开发。在专业建设指导委员会的指导下，在院系的领导下，港口集团员工应与专业教师共同开发符合当前港口与航运管理技术与工艺发展现状，体现教学内容和管理实际一致性特色并对学生与培训人员均适用的工学结合教材。</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D8F"/>
    <w:rsid w:val="00014AFF"/>
    <w:rsid w:val="00021872"/>
    <w:rsid w:val="00024113"/>
    <w:rsid w:val="000257BB"/>
    <w:rsid w:val="00061096"/>
    <w:rsid w:val="000A7523"/>
    <w:rsid w:val="000B1DA3"/>
    <w:rsid w:val="000C7622"/>
    <w:rsid w:val="000F5953"/>
    <w:rsid w:val="00111B94"/>
    <w:rsid w:val="00151108"/>
    <w:rsid w:val="001603EC"/>
    <w:rsid w:val="00165806"/>
    <w:rsid w:val="001B0EB0"/>
    <w:rsid w:val="001F447C"/>
    <w:rsid w:val="00216D88"/>
    <w:rsid w:val="00236F5C"/>
    <w:rsid w:val="00250AE7"/>
    <w:rsid w:val="00262DCB"/>
    <w:rsid w:val="002A334C"/>
    <w:rsid w:val="002B5122"/>
    <w:rsid w:val="002F085D"/>
    <w:rsid w:val="003130B9"/>
    <w:rsid w:val="003446D3"/>
    <w:rsid w:val="003512DE"/>
    <w:rsid w:val="003B6980"/>
    <w:rsid w:val="003C46D5"/>
    <w:rsid w:val="004071D9"/>
    <w:rsid w:val="004201D8"/>
    <w:rsid w:val="004255E5"/>
    <w:rsid w:val="0044499B"/>
    <w:rsid w:val="00445039"/>
    <w:rsid w:val="00476BED"/>
    <w:rsid w:val="00496DDB"/>
    <w:rsid w:val="004A27CB"/>
    <w:rsid w:val="004C3F56"/>
    <w:rsid w:val="004E1F00"/>
    <w:rsid w:val="00554D42"/>
    <w:rsid w:val="005660E1"/>
    <w:rsid w:val="00573F45"/>
    <w:rsid w:val="0059751F"/>
    <w:rsid w:val="005A5984"/>
    <w:rsid w:val="005A6EEA"/>
    <w:rsid w:val="005C56B7"/>
    <w:rsid w:val="005C6A7A"/>
    <w:rsid w:val="00603805"/>
    <w:rsid w:val="00654C21"/>
    <w:rsid w:val="0069428D"/>
    <w:rsid w:val="00732B7A"/>
    <w:rsid w:val="00744573"/>
    <w:rsid w:val="00746175"/>
    <w:rsid w:val="007549FA"/>
    <w:rsid w:val="00793D07"/>
    <w:rsid w:val="007A50EE"/>
    <w:rsid w:val="007D4868"/>
    <w:rsid w:val="007E2303"/>
    <w:rsid w:val="00836A52"/>
    <w:rsid w:val="008627C7"/>
    <w:rsid w:val="0087464C"/>
    <w:rsid w:val="008770B2"/>
    <w:rsid w:val="008C05A4"/>
    <w:rsid w:val="009117E5"/>
    <w:rsid w:val="009510E4"/>
    <w:rsid w:val="00952094"/>
    <w:rsid w:val="00953905"/>
    <w:rsid w:val="00990D16"/>
    <w:rsid w:val="009B101A"/>
    <w:rsid w:val="009D104C"/>
    <w:rsid w:val="009F578F"/>
    <w:rsid w:val="00A50027"/>
    <w:rsid w:val="00A83941"/>
    <w:rsid w:val="00A8597F"/>
    <w:rsid w:val="00AA0FB0"/>
    <w:rsid w:val="00AB3A8C"/>
    <w:rsid w:val="00AB5234"/>
    <w:rsid w:val="00B162F3"/>
    <w:rsid w:val="00B53BEF"/>
    <w:rsid w:val="00BB5F25"/>
    <w:rsid w:val="00BF6D8F"/>
    <w:rsid w:val="00C61746"/>
    <w:rsid w:val="00CA66C9"/>
    <w:rsid w:val="00CC157F"/>
    <w:rsid w:val="00CC3FE6"/>
    <w:rsid w:val="00CC77DC"/>
    <w:rsid w:val="00D3318B"/>
    <w:rsid w:val="00D52212"/>
    <w:rsid w:val="00D52CDF"/>
    <w:rsid w:val="00D670ED"/>
    <w:rsid w:val="00D67322"/>
    <w:rsid w:val="00D80D43"/>
    <w:rsid w:val="00DC4C3D"/>
    <w:rsid w:val="00DE6E40"/>
    <w:rsid w:val="00E349A9"/>
    <w:rsid w:val="00E56AAC"/>
    <w:rsid w:val="00E92695"/>
    <w:rsid w:val="00EB3C78"/>
    <w:rsid w:val="00EC4630"/>
    <w:rsid w:val="00EC4B41"/>
    <w:rsid w:val="00EC58B8"/>
    <w:rsid w:val="00EF70FC"/>
    <w:rsid w:val="00F25434"/>
    <w:rsid w:val="00F41239"/>
    <w:rsid w:val="00F57595"/>
    <w:rsid w:val="00F75679"/>
    <w:rsid w:val="00F91196"/>
    <w:rsid w:val="00FC3282"/>
    <w:rsid w:val="00FD75F0"/>
    <w:rsid w:val="00FE35CB"/>
    <w:rsid w:val="055E20EC"/>
    <w:rsid w:val="10A0344D"/>
    <w:rsid w:val="21085E69"/>
    <w:rsid w:val="31A83C91"/>
    <w:rsid w:val="32DF2CCA"/>
    <w:rsid w:val="37544C65"/>
    <w:rsid w:val="457665C9"/>
    <w:rsid w:val="5E581921"/>
    <w:rsid w:val="6E717C55"/>
    <w:rsid w:val="764D7B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7">
    <w:name w:val="List Paragraph"/>
    <w:basedOn w:val="1"/>
    <w:qFormat/>
    <w:uiPriority w:val="34"/>
    <w:pPr>
      <w:ind w:firstLine="420" w:firstLineChars="200"/>
    </w:pPr>
  </w:style>
  <w:style w:type="character" w:customStyle="1" w:styleId="8">
    <w:name w:val="批注框文本 字符"/>
    <w:basedOn w:val="6"/>
    <w:link w:val="2"/>
    <w:semiHidden/>
    <w:uiPriority w:val="99"/>
    <w:rPr>
      <w:sz w:val="18"/>
      <w:szCs w:val="18"/>
    </w:rPr>
  </w:style>
  <w:style w:type="character" w:customStyle="1" w:styleId="9">
    <w:name w:val="页眉 字符"/>
    <w:basedOn w:val="6"/>
    <w:link w:val="4"/>
    <w:qFormat/>
    <w:uiPriority w:val="99"/>
    <w:rPr>
      <w:sz w:val="18"/>
      <w:szCs w:val="18"/>
    </w:rPr>
  </w:style>
  <w:style w:type="character" w:customStyle="1" w:styleId="10">
    <w:name w:val="页脚 字符"/>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emf"/><Relationship Id="rId11" Type="http://schemas.openxmlformats.org/officeDocument/2006/relationships/oleObject" Target="embeddings/oleObject1.bin"/><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Pages>
  <Words>351</Words>
  <Characters>2002</Characters>
  <Lines>16</Lines>
  <Paragraphs>4</Paragraphs>
  <TotalTime>3</TotalTime>
  <ScaleCrop>false</ScaleCrop>
  <LinksUpToDate>false</LinksUpToDate>
  <CharactersWithSpaces>2349</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2018-10-28T11:59:00Z</dcterms:created>
  <dc:creator>Administrator</dc:creator>
  <cp:lastModifiedBy>米饭</cp:lastModifiedBy>
  <dcterms:modified xsi:type="dcterms:W3CDTF">2021-12-02T00:15:58Z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ICV">
    <vt:lpwstr>835879F7ED7748559D9B77C5663B76DB</vt:lpwstr>
  </property>
</Properties>
</file>